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BB613" w14:textId="77777777" w:rsidR="00171A4E" w:rsidRPr="00171A4E" w:rsidRDefault="00171A4E" w:rsidP="00171A4E">
      <w:pPr>
        <w:spacing w:after="0" w:line="240" w:lineRule="auto"/>
        <w:jc w:val="right"/>
        <w:rPr>
          <w:rFonts w:ascii="Myriad Pro" w:hAnsi="Myriad Pro"/>
          <w:sz w:val="24"/>
          <w:szCs w:val="24"/>
          <w:lang w:val="en-US"/>
        </w:rPr>
      </w:pPr>
      <w:r w:rsidRPr="00171A4E">
        <w:rPr>
          <w:rFonts w:ascii="Myriad Pro" w:hAnsi="Myriad Pro"/>
          <w:sz w:val="24"/>
          <w:szCs w:val="24"/>
          <w:lang w:val="en-US"/>
        </w:rPr>
        <w:t xml:space="preserve">Doi: </w:t>
      </w:r>
      <w:hyperlink r:id="rId9" w:history="1">
        <w:r w:rsidRPr="00171A4E">
          <w:rPr>
            <w:rStyle w:val="Hipervnculo"/>
            <w:rFonts w:ascii="Myriad Pro" w:hAnsi="Myriad Pro"/>
            <w:sz w:val="24"/>
            <w:szCs w:val="24"/>
            <w:lang w:val="en-US"/>
          </w:rPr>
          <w:t>10.22199/issn.0718-9753-2021-00012</w:t>
        </w:r>
      </w:hyperlink>
    </w:p>
    <w:p w14:paraId="07B4465B" w14:textId="3884C667" w:rsidR="00171A4E" w:rsidRPr="00171A4E" w:rsidRDefault="00171A4E" w:rsidP="00171A4E">
      <w:pPr>
        <w:spacing w:after="0" w:line="240" w:lineRule="auto"/>
        <w:jc w:val="right"/>
        <w:rPr>
          <w:rFonts w:ascii="Myriad Pro" w:hAnsi="Myriad Pro"/>
          <w:noProof/>
          <w:sz w:val="24"/>
          <w:szCs w:val="24"/>
          <w:lang w:eastAsia="es-CL"/>
        </w:rPr>
      </w:pPr>
      <w:r w:rsidRPr="00171A4E">
        <w:rPr>
          <w:rFonts w:ascii="Myriad Pro" w:hAnsi="Myriad Pro"/>
          <w:noProof/>
          <w:sz w:val="24"/>
          <w:szCs w:val="24"/>
          <w:lang w:eastAsia="es-CL"/>
        </w:rPr>
        <w:t>Investigaciones</w:t>
      </w:r>
    </w:p>
    <w:p w14:paraId="1F1A9CA1" w14:textId="5277F754" w:rsidR="00586885" w:rsidRPr="006A7540" w:rsidRDefault="00815EC8" w:rsidP="006A7540">
      <w:pPr>
        <w:spacing w:after="0"/>
        <w:jc w:val="center"/>
        <w:rPr>
          <w:rStyle w:val="SubttuloCar"/>
          <w:rFonts w:ascii="Myriad Pro" w:hAnsi="Myriad Pro"/>
          <w:b/>
          <w:i w:val="0"/>
          <w:color w:val="auto"/>
          <w:sz w:val="32"/>
          <w:szCs w:val="32"/>
        </w:rPr>
      </w:pPr>
      <w:r w:rsidRPr="006A7540">
        <w:rPr>
          <w:rFonts w:ascii="Myriad Pro" w:hAnsi="Myriad Pro"/>
          <w:b/>
          <w:noProof/>
          <w:sz w:val="32"/>
          <w:szCs w:val="32"/>
          <w:lang w:eastAsia="es-CL"/>
        </w:rPr>
        <w:t>El tratamiento de las denominadas acciones neutrales a título de complicidad en el derecho penal alemán</w:t>
      </w:r>
    </w:p>
    <w:p w14:paraId="71715E3A" w14:textId="77777777" w:rsidR="00345F37" w:rsidRDefault="00345F37" w:rsidP="006A7540">
      <w:pPr>
        <w:spacing w:after="0"/>
        <w:jc w:val="center"/>
        <w:rPr>
          <w:rStyle w:val="Ttulo2Car"/>
          <w:rFonts w:ascii="Myriad Pro" w:hAnsi="Myriad Pro"/>
          <w:color w:val="auto"/>
          <w:sz w:val="32"/>
          <w:szCs w:val="32"/>
          <w:lang w:val="en-US"/>
        </w:rPr>
      </w:pPr>
      <w:r w:rsidRPr="006A7540">
        <w:rPr>
          <w:rStyle w:val="Ttulo2Car"/>
          <w:rFonts w:ascii="Myriad Pro" w:hAnsi="Myriad Pro"/>
          <w:color w:val="auto"/>
          <w:sz w:val="32"/>
          <w:szCs w:val="32"/>
          <w:lang w:val="en-US"/>
        </w:rPr>
        <w:t>The treatment of the d</w:t>
      </w:r>
      <w:r w:rsidRPr="006A7540">
        <w:rPr>
          <w:rStyle w:val="Ttulo2Car"/>
          <w:rFonts w:ascii="Myriad Pro" w:hAnsi="Myriad Pro"/>
          <w:color w:val="auto"/>
          <w:sz w:val="32"/>
          <w:szCs w:val="32"/>
          <w:lang w:val="en-US"/>
        </w:rPr>
        <w:t>e</w:t>
      </w:r>
      <w:r w:rsidRPr="006A7540">
        <w:rPr>
          <w:rStyle w:val="Ttulo2Car"/>
          <w:rFonts w:ascii="Myriad Pro" w:hAnsi="Myriad Pro"/>
          <w:color w:val="auto"/>
          <w:sz w:val="32"/>
          <w:szCs w:val="32"/>
          <w:lang w:val="en-US"/>
        </w:rPr>
        <w:t>nominated neutral actions by title of complicity in german criminal law</w:t>
      </w:r>
    </w:p>
    <w:p w14:paraId="7B6EE9DE" w14:textId="77777777" w:rsidR="006A7540" w:rsidRPr="006A7540" w:rsidRDefault="006A7540" w:rsidP="006A7540">
      <w:pPr>
        <w:spacing w:after="0"/>
        <w:jc w:val="center"/>
        <w:rPr>
          <w:rStyle w:val="Ttulo2Car"/>
          <w:rFonts w:ascii="Myriad Pro" w:hAnsi="Myriad Pro"/>
          <w:b w:val="0"/>
          <w:color w:val="auto"/>
          <w:sz w:val="24"/>
          <w:szCs w:val="24"/>
          <w:lang w:val="en-US"/>
        </w:rPr>
      </w:pPr>
    </w:p>
    <w:p w14:paraId="7D54AA72" w14:textId="6D7E5A14" w:rsidR="00920EF7" w:rsidRDefault="00345F37" w:rsidP="006A7540">
      <w:pPr>
        <w:spacing w:after="0"/>
        <w:rPr>
          <w:rFonts w:ascii="Myriad Pro" w:hAnsi="Myriad Pro"/>
          <w:color w:val="A6CE39"/>
          <w:sz w:val="24"/>
          <w:szCs w:val="24"/>
          <w:lang w:eastAsia="es-ES"/>
        </w:rPr>
      </w:pPr>
      <w:r w:rsidRPr="006A7540">
        <w:rPr>
          <w:rFonts w:ascii="Myriad Pro" w:hAnsi="Myriad Pro"/>
          <w:noProof/>
          <w:sz w:val="24"/>
          <w:szCs w:val="24"/>
          <w:lang w:eastAsia="es-CL"/>
        </w:rPr>
        <w:t>Miguel Antonio Schurmann Opazo</w:t>
      </w:r>
      <w:r w:rsidR="009F3863" w:rsidRPr="006A7540">
        <w:rPr>
          <w:rFonts w:ascii="Myriad Pro" w:hAnsi="Myriad Pro"/>
          <w:sz w:val="24"/>
          <w:szCs w:val="24"/>
          <w:vertAlign w:val="superscript"/>
          <w:lang w:eastAsia="es-ES"/>
        </w:rPr>
        <w:t>1</w:t>
      </w:r>
      <w:r w:rsidR="00920EF7" w:rsidRPr="006A7540">
        <w:rPr>
          <w:rFonts w:ascii="Myriad Pro" w:hAnsi="Myriad Pro"/>
          <w:sz w:val="24"/>
          <w:szCs w:val="24"/>
          <w:lang w:eastAsia="es-ES"/>
        </w:rPr>
        <w:t xml:space="preserve"> </w:t>
      </w:r>
      <w:r w:rsidR="00283CEB" w:rsidRPr="006A7540">
        <w:rPr>
          <w:rFonts w:ascii="Myriad Pro" w:hAnsi="Myriad Pro"/>
          <w:color w:val="A6CE39"/>
          <w:sz w:val="24"/>
          <w:szCs w:val="24"/>
          <w:lang w:eastAsia="es-ES"/>
        </w:rPr>
        <w:t>https://orcid.org/</w:t>
      </w:r>
      <w:r w:rsidR="00526F96" w:rsidRPr="006A7540">
        <w:rPr>
          <w:rFonts w:ascii="Myriad Pro" w:hAnsi="Myriad Pro"/>
          <w:color w:val="A6CE39"/>
          <w:sz w:val="24"/>
          <w:szCs w:val="24"/>
          <w:lang w:eastAsia="es-ES"/>
        </w:rPr>
        <w:t>0000-000</w:t>
      </w:r>
      <w:r w:rsidRPr="006A7540">
        <w:rPr>
          <w:rFonts w:ascii="Myriad Pro" w:hAnsi="Myriad Pro"/>
          <w:color w:val="A6CE39"/>
          <w:sz w:val="24"/>
          <w:szCs w:val="24"/>
          <w:lang w:eastAsia="es-ES"/>
        </w:rPr>
        <w:t>2</w:t>
      </w:r>
      <w:r w:rsidR="00526F96" w:rsidRPr="006A7540">
        <w:rPr>
          <w:rFonts w:ascii="Myriad Pro" w:hAnsi="Myriad Pro"/>
          <w:color w:val="A6CE39"/>
          <w:sz w:val="24"/>
          <w:szCs w:val="24"/>
          <w:lang w:eastAsia="es-ES"/>
        </w:rPr>
        <w:t>-</w:t>
      </w:r>
      <w:r w:rsidRPr="006A7540">
        <w:rPr>
          <w:rFonts w:ascii="Myriad Pro" w:hAnsi="Myriad Pro"/>
          <w:color w:val="A6CE39"/>
          <w:sz w:val="24"/>
          <w:szCs w:val="24"/>
          <w:lang w:eastAsia="es-ES"/>
        </w:rPr>
        <w:t>8454</w:t>
      </w:r>
      <w:r w:rsidR="00526F96" w:rsidRPr="006A7540">
        <w:rPr>
          <w:rFonts w:ascii="Myriad Pro" w:hAnsi="Myriad Pro"/>
          <w:color w:val="A6CE39"/>
          <w:sz w:val="24"/>
          <w:szCs w:val="24"/>
          <w:lang w:eastAsia="es-ES"/>
        </w:rPr>
        <w:t>-</w:t>
      </w:r>
      <w:r w:rsidRPr="006A7540">
        <w:rPr>
          <w:rFonts w:ascii="Myriad Pro" w:hAnsi="Myriad Pro"/>
          <w:color w:val="A6CE39"/>
          <w:sz w:val="24"/>
          <w:szCs w:val="24"/>
          <w:lang w:eastAsia="es-ES"/>
        </w:rPr>
        <w:t>385</w:t>
      </w:r>
      <w:r w:rsidR="00DD09D5" w:rsidRPr="006A7540">
        <w:rPr>
          <w:rFonts w:ascii="Myriad Pro" w:hAnsi="Myriad Pro"/>
          <w:color w:val="A6CE39"/>
          <w:sz w:val="24"/>
          <w:szCs w:val="24"/>
          <w:lang w:eastAsia="es-ES"/>
        </w:rPr>
        <w:t>9</w:t>
      </w:r>
    </w:p>
    <w:p w14:paraId="690EE5CD" w14:textId="77777777" w:rsidR="006A7540" w:rsidRPr="006A7540" w:rsidRDefault="006A7540" w:rsidP="006A7540">
      <w:pPr>
        <w:spacing w:after="0"/>
        <w:rPr>
          <w:rFonts w:ascii="Myriad Pro" w:hAnsi="Myriad Pro"/>
          <w:color w:val="A6CE39"/>
          <w:sz w:val="24"/>
          <w:szCs w:val="24"/>
          <w:lang w:eastAsia="es-ES"/>
        </w:rPr>
      </w:pPr>
    </w:p>
    <w:p w14:paraId="21C42BE7" w14:textId="22BB0300" w:rsidR="00845F71" w:rsidRDefault="00F47690" w:rsidP="006A7540">
      <w:pPr>
        <w:spacing w:after="0"/>
        <w:jc w:val="both"/>
        <w:rPr>
          <w:rFonts w:ascii="Myriad Pro" w:hAnsi="Myriad Pro"/>
          <w:sz w:val="24"/>
          <w:szCs w:val="24"/>
        </w:rPr>
      </w:pPr>
      <w:r w:rsidRPr="006A7540">
        <w:rPr>
          <w:rFonts w:ascii="Myriad Pro" w:hAnsi="Myriad Pro"/>
          <w:sz w:val="24"/>
          <w:szCs w:val="24"/>
          <w:vertAlign w:val="superscript"/>
        </w:rPr>
        <w:t>1</w:t>
      </w:r>
      <w:r w:rsidR="00DD09D5" w:rsidRPr="006A7540">
        <w:rPr>
          <w:rFonts w:ascii="Myriad Pro" w:hAnsi="Myriad Pro" w:cs="Times New Roman"/>
          <w:sz w:val="24"/>
          <w:szCs w:val="24"/>
        </w:rPr>
        <w:t xml:space="preserve">Universidad de Chile, Santiago, Chile. Departamento de Ciencias Penales, Facultad de Derecho. Profesor </w:t>
      </w:r>
      <w:r w:rsidR="007570C1" w:rsidRPr="006A7540">
        <w:rPr>
          <w:rFonts w:ascii="Myriad Pro" w:hAnsi="Myriad Pro" w:cs="Times New Roman"/>
          <w:sz w:val="24"/>
          <w:szCs w:val="24"/>
        </w:rPr>
        <w:t>de de</w:t>
      </w:r>
      <w:r w:rsidR="00DD09D5" w:rsidRPr="006A7540">
        <w:rPr>
          <w:rFonts w:ascii="Myriad Pro" w:hAnsi="Myriad Pro" w:cs="Times New Roman"/>
          <w:sz w:val="24"/>
          <w:szCs w:val="24"/>
        </w:rPr>
        <w:t>r</w:t>
      </w:r>
      <w:r w:rsidR="007570C1" w:rsidRPr="006A7540">
        <w:rPr>
          <w:rFonts w:ascii="Myriad Pro" w:hAnsi="Myriad Pro" w:cs="Times New Roman"/>
          <w:sz w:val="24"/>
          <w:szCs w:val="24"/>
        </w:rPr>
        <w:t>echo penal. Maestría</w:t>
      </w:r>
      <w:r w:rsidR="00DD09D5" w:rsidRPr="006A7540">
        <w:rPr>
          <w:rFonts w:ascii="Myriad Pro" w:hAnsi="Myriad Pro" w:cs="Times New Roman"/>
          <w:sz w:val="24"/>
          <w:szCs w:val="24"/>
        </w:rPr>
        <w:t xml:space="preserve"> en derecho, Un</w:t>
      </w:r>
      <w:r w:rsidR="00DD09D5" w:rsidRPr="006A7540">
        <w:rPr>
          <w:rFonts w:ascii="Myriad Pro" w:hAnsi="Myriad Pro" w:cs="Times New Roman"/>
          <w:sz w:val="24"/>
          <w:szCs w:val="24"/>
        </w:rPr>
        <w:t>i</w:t>
      </w:r>
      <w:r w:rsidR="00DD09D5" w:rsidRPr="006A7540">
        <w:rPr>
          <w:rFonts w:ascii="Myriad Pro" w:hAnsi="Myriad Pro" w:cs="Times New Roman"/>
          <w:sz w:val="24"/>
          <w:szCs w:val="24"/>
        </w:rPr>
        <w:t>versidad de Bonn.</w:t>
      </w:r>
      <w:r w:rsidR="006A7540" w:rsidRPr="006A7540">
        <w:rPr>
          <w:rFonts w:ascii="Myriad Pro" w:hAnsi="Myriad Pro" w:cs="Times New Roman"/>
          <w:sz w:val="24"/>
          <w:szCs w:val="24"/>
        </w:rPr>
        <w:t xml:space="preserve"> E-mail: </w:t>
      </w:r>
      <w:hyperlink r:id="rId10" w:history="1">
        <w:r w:rsidR="006A7540" w:rsidRPr="00B13CE4">
          <w:rPr>
            <w:rStyle w:val="Hipervnculo"/>
            <w:rFonts w:ascii="Myriad Pro" w:hAnsi="Myriad Pro"/>
            <w:sz w:val="24"/>
            <w:szCs w:val="24"/>
          </w:rPr>
          <w:t>mschurmann@derecho.uchile.cl</w:t>
        </w:r>
      </w:hyperlink>
      <w:r w:rsidR="007570C1" w:rsidRPr="006A7540">
        <w:rPr>
          <w:rFonts w:ascii="Myriad Pro" w:hAnsi="Myriad Pro"/>
          <w:sz w:val="24"/>
          <w:szCs w:val="24"/>
        </w:rPr>
        <w:t>.</w:t>
      </w:r>
    </w:p>
    <w:p w14:paraId="0C9B8DAC" w14:textId="77777777" w:rsidR="006A7540" w:rsidRPr="006A7540" w:rsidRDefault="006A7540" w:rsidP="006A7540">
      <w:pPr>
        <w:spacing w:after="0"/>
        <w:jc w:val="both"/>
        <w:rPr>
          <w:rFonts w:ascii="Myriad Pro" w:hAnsi="Myriad Pro"/>
          <w:sz w:val="24"/>
          <w:szCs w:val="24"/>
        </w:rPr>
      </w:pPr>
    </w:p>
    <w:p w14:paraId="551B3032" w14:textId="1F783C60" w:rsidR="006D59C6" w:rsidRPr="006A7540" w:rsidRDefault="0090543B" w:rsidP="006A7540">
      <w:pPr>
        <w:spacing w:after="0"/>
        <w:jc w:val="both"/>
        <w:rPr>
          <w:rFonts w:ascii="Myriad Pro" w:hAnsi="Myriad Pro"/>
          <w:b/>
          <w:sz w:val="24"/>
          <w:szCs w:val="24"/>
        </w:rPr>
      </w:pPr>
      <w:r w:rsidRPr="006A7540">
        <w:rPr>
          <w:rFonts w:ascii="Myriad Pro" w:hAnsi="Myriad Pro"/>
          <w:b/>
          <w:sz w:val="24"/>
          <w:szCs w:val="24"/>
        </w:rPr>
        <w:t>Resumen</w:t>
      </w:r>
      <w:r w:rsidR="0040426D" w:rsidRPr="006A7540">
        <w:rPr>
          <w:rFonts w:ascii="Myriad Pro" w:hAnsi="Myriad Pro"/>
          <w:b/>
          <w:sz w:val="24"/>
          <w:szCs w:val="24"/>
        </w:rPr>
        <w:t xml:space="preserve">: </w:t>
      </w:r>
    </w:p>
    <w:p w14:paraId="0DA37440" w14:textId="77777777" w:rsidR="007570C1" w:rsidRPr="006A7540" w:rsidRDefault="007570C1" w:rsidP="006A7540">
      <w:pPr>
        <w:spacing w:after="0"/>
        <w:jc w:val="both"/>
        <w:rPr>
          <w:rStyle w:val="nfasis"/>
          <w:rFonts w:ascii="Myriad Pro" w:hAnsi="Myriad Pro"/>
          <w:i w:val="0"/>
          <w:sz w:val="24"/>
          <w:szCs w:val="24"/>
          <w:lang w:eastAsia="es-CL"/>
        </w:rPr>
      </w:pPr>
      <w:r w:rsidRPr="006A7540">
        <w:rPr>
          <w:rStyle w:val="nfasis"/>
          <w:rFonts w:ascii="Myriad Pro" w:hAnsi="Myriad Pro"/>
          <w:i w:val="0"/>
          <w:sz w:val="24"/>
          <w:szCs w:val="24"/>
          <w:lang w:eastAsia="es-CL"/>
        </w:rPr>
        <w:t>El objetivo es exponer críticamente las distintas aproximaciones que se han realizado sobre las denomin</w:t>
      </w:r>
      <w:r w:rsidRPr="006A7540">
        <w:rPr>
          <w:rStyle w:val="nfasis"/>
          <w:rFonts w:ascii="Myriad Pro" w:hAnsi="Myriad Pro"/>
          <w:i w:val="0"/>
          <w:sz w:val="24"/>
          <w:szCs w:val="24"/>
          <w:lang w:eastAsia="es-CL"/>
        </w:rPr>
        <w:t>a</w:t>
      </w:r>
      <w:r w:rsidRPr="006A7540">
        <w:rPr>
          <w:rStyle w:val="nfasis"/>
          <w:rFonts w:ascii="Myriad Pro" w:hAnsi="Myriad Pro"/>
          <w:i w:val="0"/>
          <w:sz w:val="24"/>
          <w:szCs w:val="24"/>
          <w:lang w:eastAsia="es-CL"/>
        </w:rPr>
        <w:t>das acciones neutrales en la cultura jurídico-penal alemana, de modo a traer a la nuestra una discusión de parte general que, debido a la estructura de nuestra regulación penal vigente, es compl</w:t>
      </w:r>
      <w:r w:rsidRPr="006A7540">
        <w:rPr>
          <w:rStyle w:val="nfasis"/>
          <w:rFonts w:ascii="Myriad Pro" w:hAnsi="Myriad Pro"/>
          <w:i w:val="0"/>
          <w:sz w:val="24"/>
          <w:szCs w:val="24"/>
          <w:lang w:eastAsia="es-CL"/>
        </w:rPr>
        <w:t>e</w:t>
      </w:r>
      <w:r w:rsidRPr="006A7540">
        <w:rPr>
          <w:rStyle w:val="nfasis"/>
          <w:rFonts w:ascii="Myriad Pro" w:hAnsi="Myriad Pro"/>
          <w:i w:val="0"/>
          <w:sz w:val="24"/>
          <w:szCs w:val="24"/>
          <w:lang w:eastAsia="es-CL"/>
        </w:rPr>
        <w:t>tamente pertinente. Por acciones neutrales se entienden generalmente comportamientos que aparentan ser inofens</w:t>
      </w:r>
      <w:r w:rsidRPr="006A7540">
        <w:rPr>
          <w:rStyle w:val="nfasis"/>
          <w:rFonts w:ascii="Myriad Pro" w:hAnsi="Myriad Pro"/>
          <w:i w:val="0"/>
          <w:sz w:val="24"/>
          <w:szCs w:val="24"/>
          <w:lang w:eastAsia="es-CL"/>
        </w:rPr>
        <w:t>i</w:t>
      </w:r>
      <w:r w:rsidRPr="006A7540">
        <w:rPr>
          <w:rStyle w:val="nfasis"/>
          <w:rFonts w:ascii="Myriad Pro" w:hAnsi="Myriad Pro"/>
          <w:i w:val="0"/>
          <w:sz w:val="24"/>
          <w:szCs w:val="24"/>
          <w:lang w:eastAsia="es-CL"/>
        </w:rPr>
        <w:t>vos, pero cuya ejecución u omisión posibilita la realización de un delito, planteando la pregunta por las cond</w:t>
      </w:r>
      <w:r w:rsidRPr="006A7540">
        <w:rPr>
          <w:rStyle w:val="nfasis"/>
          <w:rFonts w:ascii="Myriad Pro" w:hAnsi="Myriad Pro"/>
          <w:i w:val="0"/>
          <w:sz w:val="24"/>
          <w:szCs w:val="24"/>
          <w:lang w:eastAsia="es-CL"/>
        </w:rPr>
        <w:t>i</w:t>
      </w:r>
      <w:r w:rsidRPr="006A7540">
        <w:rPr>
          <w:rStyle w:val="nfasis"/>
          <w:rFonts w:ascii="Myriad Pro" w:hAnsi="Myriad Pro"/>
          <w:i w:val="0"/>
          <w:sz w:val="24"/>
          <w:szCs w:val="24"/>
          <w:lang w:eastAsia="es-CL"/>
        </w:rPr>
        <w:t>ciones (objetivas o subjetivas) que deben verificarse para que a un sujeto le sea atribuido a título de complicidad el injusto cometido por otro. El problema dogmático pla</w:t>
      </w:r>
      <w:r w:rsidRPr="006A7540">
        <w:rPr>
          <w:rStyle w:val="nfasis"/>
          <w:rFonts w:ascii="Myriad Pro" w:hAnsi="Myriad Pro"/>
          <w:i w:val="0"/>
          <w:sz w:val="24"/>
          <w:szCs w:val="24"/>
          <w:lang w:eastAsia="es-CL"/>
        </w:rPr>
        <w:t>n</w:t>
      </w:r>
      <w:r w:rsidRPr="006A7540">
        <w:rPr>
          <w:rStyle w:val="nfasis"/>
          <w:rFonts w:ascii="Myriad Pro" w:hAnsi="Myriad Pro"/>
          <w:i w:val="0"/>
          <w:sz w:val="24"/>
          <w:szCs w:val="24"/>
          <w:lang w:eastAsia="es-CL"/>
        </w:rPr>
        <w:t>teado por este grupo de casos ha llamado la atención tanto de la doctrina como de la juri</w:t>
      </w:r>
      <w:r w:rsidRPr="006A7540">
        <w:rPr>
          <w:rStyle w:val="nfasis"/>
          <w:rFonts w:ascii="Myriad Pro" w:hAnsi="Myriad Pro"/>
          <w:i w:val="0"/>
          <w:sz w:val="24"/>
          <w:szCs w:val="24"/>
          <w:lang w:eastAsia="es-CL"/>
        </w:rPr>
        <w:t>s</w:t>
      </w:r>
      <w:r w:rsidRPr="006A7540">
        <w:rPr>
          <w:rStyle w:val="nfasis"/>
          <w:rFonts w:ascii="Myriad Pro" w:hAnsi="Myriad Pro"/>
          <w:i w:val="0"/>
          <w:sz w:val="24"/>
          <w:szCs w:val="24"/>
          <w:lang w:eastAsia="es-CL"/>
        </w:rPr>
        <w:t>prudencia, la que ha elaborado un criterio mixto (objetivo-subjetivo) que se ha constituido en la opinión dominante. El carácter d</w:t>
      </w:r>
      <w:r w:rsidRPr="006A7540">
        <w:rPr>
          <w:rStyle w:val="nfasis"/>
          <w:rFonts w:ascii="Myriad Pro" w:hAnsi="Myriad Pro"/>
          <w:i w:val="0"/>
          <w:sz w:val="24"/>
          <w:szCs w:val="24"/>
          <w:lang w:eastAsia="es-CL"/>
        </w:rPr>
        <w:t>o</w:t>
      </w:r>
      <w:r w:rsidRPr="006A7540">
        <w:rPr>
          <w:rStyle w:val="nfasis"/>
          <w:rFonts w:ascii="Myriad Pro" w:hAnsi="Myriad Pro"/>
          <w:i w:val="0"/>
          <w:sz w:val="24"/>
          <w:szCs w:val="24"/>
          <w:lang w:eastAsia="es-CL"/>
        </w:rPr>
        <w:t>minante de una teoría muchas veces no coincide con su corrección, este es precis</w:t>
      </w:r>
      <w:r w:rsidRPr="006A7540">
        <w:rPr>
          <w:rStyle w:val="nfasis"/>
          <w:rFonts w:ascii="Myriad Pro" w:hAnsi="Myriad Pro"/>
          <w:i w:val="0"/>
          <w:sz w:val="24"/>
          <w:szCs w:val="24"/>
          <w:lang w:eastAsia="es-CL"/>
        </w:rPr>
        <w:t>a</w:t>
      </w:r>
      <w:r w:rsidRPr="006A7540">
        <w:rPr>
          <w:rStyle w:val="nfasis"/>
          <w:rFonts w:ascii="Myriad Pro" w:hAnsi="Myriad Pro"/>
          <w:i w:val="0"/>
          <w:sz w:val="24"/>
          <w:szCs w:val="24"/>
          <w:lang w:eastAsia="es-CL"/>
        </w:rPr>
        <w:t>mente el caso. La respuesta correcta al problema se encuentra en la regulación legal de la complicidad y en los pri</w:t>
      </w:r>
      <w:r w:rsidRPr="006A7540">
        <w:rPr>
          <w:rStyle w:val="nfasis"/>
          <w:rFonts w:ascii="Myriad Pro" w:hAnsi="Myriad Pro"/>
          <w:i w:val="0"/>
          <w:sz w:val="24"/>
          <w:szCs w:val="24"/>
          <w:lang w:eastAsia="es-CL"/>
        </w:rPr>
        <w:t>n</w:t>
      </w:r>
      <w:r w:rsidRPr="006A7540">
        <w:rPr>
          <w:rStyle w:val="nfasis"/>
          <w:rFonts w:ascii="Myriad Pro" w:hAnsi="Myriad Pro"/>
          <w:i w:val="0"/>
          <w:sz w:val="24"/>
          <w:szCs w:val="24"/>
          <w:lang w:eastAsia="es-CL"/>
        </w:rPr>
        <w:t>cipios que rigen la participación.</w:t>
      </w:r>
    </w:p>
    <w:p w14:paraId="302453F1" w14:textId="691DDF9D" w:rsidR="000C27E0" w:rsidRPr="006A7540" w:rsidRDefault="00C64EA6" w:rsidP="006A7540">
      <w:pPr>
        <w:spacing w:after="0"/>
        <w:jc w:val="both"/>
        <w:rPr>
          <w:rFonts w:ascii="Myriad Pro" w:hAnsi="Myriad Pro"/>
          <w:sz w:val="24"/>
          <w:szCs w:val="24"/>
          <w:lang w:val="es-ES_tradnl"/>
        </w:rPr>
      </w:pPr>
      <w:r w:rsidRPr="006A7540">
        <w:rPr>
          <w:rFonts w:ascii="Myriad Pro" w:eastAsiaTheme="majorEastAsia" w:hAnsi="Myriad Pro" w:cstheme="majorBidi"/>
          <w:b/>
          <w:bCs/>
          <w:sz w:val="24"/>
          <w:szCs w:val="24"/>
        </w:rPr>
        <w:t>Palabras Clave:</w:t>
      </w:r>
      <w:r w:rsidRPr="006A7540">
        <w:rPr>
          <w:rFonts w:ascii="Myriad Pro" w:hAnsi="Myriad Pro"/>
          <w:sz w:val="24"/>
          <w:szCs w:val="24"/>
        </w:rPr>
        <w:t xml:space="preserve"> </w:t>
      </w:r>
      <w:r w:rsidR="000C27E0" w:rsidRPr="006A7540">
        <w:rPr>
          <w:rFonts w:ascii="Myriad Pro" w:hAnsi="Myriad Pro"/>
          <w:sz w:val="24"/>
          <w:szCs w:val="24"/>
          <w:lang w:val="es-ES_tradnl"/>
        </w:rPr>
        <w:t>Conductas neutrales; Comportamientos profesionales; Implicación; A</w:t>
      </w:r>
      <w:r w:rsidR="000C27E0" w:rsidRPr="006A7540">
        <w:rPr>
          <w:rFonts w:ascii="Myriad Pro" w:hAnsi="Myriad Pro"/>
          <w:sz w:val="24"/>
          <w:szCs w:val="24"/>
          <w:lang w:val="es-ES_tradnl"/>
        </w:rPr>
        <w:t>c</w:t>
      </w:r>
      <w:r w:rsidR="000C27E0" w:rsidRPr="006A7540">
        <w:rPr>
          <w:rFonts w:ascii="Myriad Pro" w:hAnsi="Myriad Pro"/>
          <w:sz w:val="24"/>
          <w:szCs w:val="24"/>
          <w:lang w:val="es-ES_tradnl"/>
        </w:rPr>
        <w:t>cesoriedad; Participación.</w:t>
      </w:r>
    </w:p>
    <w:p w14:paraId="22EFAFB9" w14:textId="2D1F9859" w:rsidR="006E6EAA" w:rsidRPr="006A7540" w:rsidRDefault="006E6EAA" w:rsidP="006A7540">
      <w:pPr>
        <w:spacing w:after="0"/>
        <w:jc w:val="both"/>
        <w:rPr>
          <w:rFonts w:ascii="Myriad Pro" w:hAnsi="Myriad Pro"/>
          <w:iCs/>
          <w:sz w:val="24"/>
          <w:szCs w:val="24"/>
          <w:lang w:val="es-ES_tradnl" w:eastAsia="es-CL"/>
        </w:rPr>
      </w:pPr>
    </w:p>
    <w:p w14:paraId="3841FB63" w14:textId="33D30010" w:rsidR="004D6E20" w:rsidRPr="006A7540" w:rsidRDefault="0090543B" w:rsidP="006A7540">
      <w:pPr>
        <w:spacing w:after="0"/>
        <w:jc w:val="both"/>
        <w:rPr>
          <w:rFonts w:ascii="Myriad Pro" w:hAnsi="Myriad Pro"/>
          <w:b/>
          <w:noProof/>
          <w:sz w:val="24"/>
          <w:szCs w:val="24"/>
          <w:lang w:val="en-US" w:eastAsia="es-CL"/>
        </w:rPr>
      </w:pPr>
      <w:r w:rsidRPr="006A7540">
        <w:rPr>
          <w:rFonts w:ascii="Myriad Pro" w:hAnsi="Myriad Pro"/>
          <w:b/>
          <w:sz w:val="24"/>
          <w:szCs w:val="24"/>
          <w:lang w:val="en-US"/>
        </w:rPr>
        <w:t>Abstract</w:t>
      </w:r>
      <w:r w:rsidR="00AD37B3" w:rsidRPr="006A7540">
        <w:rPr>
          <w:rFonts w:ascii="Myriad Pro" w:hAnsi="Myriad Pro"/>
          <w:b/>
          <w:sz w:val="24"/>
          <w:szCs w:val="24"/>
          <w:lang w:val="en-US"/>
        </w:rPr>
        <w:t xml:space="preserve">: </w:t>
      </w:r>
    </w:p>
    <w:p w14:paraId="55D0E25F" w14:textId="408CE91A" w:rsidR="000C27E0" w:rsidRPr="006A7540" w:rsidRDefault="000C27E0" w:rsidP="006A7540">
      <w:pPr>
        <w:spacing w:after="0"/>
        <w:jc w:val="both"/>
        <w:rPr>
          <w:rFonts w:ascii="Myriad Pro" w:eastAsiaTheme="majorEastAsia" w:hAnsi="Myriad Pro" w:cstheme="majorBidi"/>
          <w:b/>
          <w:bCs/>
          <w:color w:val="175D72"/>
          <w:sz w:val="24"/>
          <w:szCs w:val="24"/>
          <w:lang w:val="en-US"/>
        </w:rPr>
      </w:pPr>
      <w:r w:rsidRPr="006A7540">
        <w:rPr>
          <w:rFonts w:ascii="Myriad Pro" w:hAnsi="Myriad Pro"/>
          <w:sz w:val="24"/>
          <w:szCs w:val="24"/>
          <w:lang w:val="en-US"/>
        </w:rPr>
        <w:t xml:space="preserve">The aim is to critically present the different approaches that have been carried out on the so-called neutral actions in the German legal-criminal culture, so as to bring to ours </w:t>
      </w:r>
      <w:proofErr w:type="gramStart"/>
      <w:r w:rsidRPr="006A7540">
        <w:rPr>
          <w:rFonts w:ascii="Myriad Pro" w:hAnsi="Myriad Pro"/>
          <w:sz w:val="24"/>
          <w:szCs w:val="24"/>
          <w:lang w:val="en-US"/>
        </w:rPr>
        <w:t>a discu</w:t>
      </w:r>
      <w:r w:rsidRPr="006A7540">
        <w:rPr>
          <w:rFonts w:ascii="Myriad Pro" w:hAnsi="Myriad Pro"/>
          <w:sz w:val="24"/>
          <w:szCs w:val="24"/>
          <w:lang w:val="en-US"/>
        </w:rPr>
        <w:t>s</w:t>
      </w:r>
      <w:r w:rsidRPr="006A7540">
        <w:rPr>
          <w:rFonts w:ascii="Myriad Pro" w:hAnsi="Myriad Pro"/>
          <w:sz w:val="24"/>
          <w:szCs w:val="24"/>
          <w:lang w:val="en-US"/>
        </w:rPr>
        <w:t>sions</w:t>
      </w:r>
      <w:proofErr w:type="gramEnd"/>
      <w:r w:rsidRPr="006A7540">
        <w:rPr>
          <w:rFonts w:ascii="Myriad Pro" w:hAnsi="Myriad Pro"/>
          <w:sz w:val="24"/>
          <w:szCs w:val="24"/>
          <w:lang w:val="en-US"/>
        </w:rPr>
        <w:t xml:space="preserve"> of the general part that, due to the structure of our current penal regulation, is completely pertinent. Neutral actions are generally understood as b</w:t>
      </w:r>
      <w:r w:rsidRPr="006A7540">
        <w:rPr>
          <w:rFonts w:ascii="Myriad Pro" w:hAnsi="Myriad Pro"/>
          <w:sz w:val="24"/>
          <w:szCs w:val="24"/>
          <w:lang w:val="en-US"/>
        </w:rPr>
        <w:t>e</w:t>
      </w:r>
      <w:r w:rsidRPr="006A7540">
        <w:rPr>
          <w:rFonts w:ascii="Myriad Pro" w:hAnsi="Myriad Pro"/>
          <w:sz w:val="24"/>
          <w:szCs w:val="24"/>
          <w:lang w:val="en-US"/>
        </w:rPr>
        <w:t>haviors that appear to be harmless, but whose execution or omission enables the realization of a crime, rising the question about the conditions (objective and/or su</w:t>
      </w:r>
      <w:r w:rsidRPr="006A7540">
        <w:rPr>
          <w:rFonts w:ascii="Myriad Pro" w:hAnsi="Myriad Pro"/>
          <w:sz w:val="24"/>
          <w:szCs w:val="24"/>
          <w:lang w:val="en-US"/>
        </w:rPr>
        <w:t>b</w:t>
      </w:r>
      <w:r w:rsidRPr="006A7540">
        <w:rPr>
          <w:rFonts w:ascii="Myriad Pro" w:hAnsi="Myriad Pro"/>
          <w:sz w:val="24"/>
          <w:szCs w:val="24"/>
          <w:lang w:val="en-US"/>
        </w:rPr>
        <w:t>je</w:t>
      </w:r>
      <w:r w:rsidRPr="006A7540">
        <w:rPr>
          <w:rFonts w:ascii="Myriad Pro" w:hAnsi="Myriad Pro"/>
          <w:sz w:val="24"/>
          <w:szCs w:val="24"/>
          <w:lang w:val="en-US"/>
        </w:rPr>
        <w:t>c</w:t>
      </w:r>
      <w:r w:rsidRPr="006A7540">
        <w:rPr>
          <w:rFonts w:ascii="Myriad Pro" w:hAnsi="Myriad Pro"/>
          <w:sz w:val="24"/>
          <w:szCs w:val="24"/>
          <w:lang w:val="en-US"/>
        </w:rPr>
        <w:t>tive) that should be verified for a subject to be attributed by title of complicity the unjust committed by a</w:t>
      </w:r>
      <w:r w:rsidRPr="006A7540">
        <w:rPr>
          <w:rFonts w:ascii="Myriad Pro" w:hAnsi="Myriad Pro"/>
          <w:sz w:val="24"/>
          <w:szCs w:val="24"/>
          <w:lang w:val="en-US"/>
        </w:rPr>
        <w:t>n</w:t>
      </w:r>
      <w:r w:rsidRPr="006A7540">
        <w:rPr>
          <w:rFonts w:ascii="Myriad Pro" w:hAnsi="Myriad Pro"/>
          <w:sz w:val="24"/>
          <w:szCs w:val="24"/>
          <w:lang w:val="en-US"/>
        </w:rPr>
        <w:t>other. T</w:t>
      </w:r>
      <w:r w:rsidRPr="006A7540">
        <w:rPr>
          <w:rFonts w:ascii="Myriad Pro" w:hAnsi="Myriad Pro"/>
          <w:sz w:val="24"/>
          <w:szCs w:val="24"/>
          <w:lang w:val="en-GB"/>
        </w:rPr>
        <w:t xml:space="preserve">he dogmatic problem raised by this group of cases has called attention of both doctrine and jurisprudence, which have developed a </w:t>
      </w:r>
      <w:r w:rsidRPr="006A7540">
        <w:rPr>
          <w:rFonts w:ascii="Myriad Pro" w:hAnsi="Myriad Pro"/>
          <w:sz w:val="24"/>
          <w:szCs w:val="24"/>
          <w:lang w:val="en-GB"/>
        </w:rPr>
        <w:lastRenderedPageBreak/>
        <w:t>mixed criterion (objective-subjective) that has become the do</w:t>
      </w:r>
      <w:r w:rsidRPr="006A7540">
        <w:rPr>
          <w:rFonts w:ascii="Myriad Pro" w:hAnsi="Myriad Pro"/>
          <w:sz w:val="24"/>
          <w:szCs w:val="24"/>
          <w:lang w:val="en-GB"/>
        </w:rPr>
        <w:t>m</w:t>
      </w:r>
      <w:r w:rsidRPr="006A7540">
        <w:rPr>
          <w:rFonts w:ascii="Myriad Pro" w:hAnsi="Myriad Pro"/>
          <w:sz w:val="24"/>
          <w:szCs w:val="24"/>
          <w:lang w:val="en-GB"/>
        </w:rPr>
        <w:t xml:space="preserve">inant opinion. </w:t>
      </w:r>
      <w:r w:rsidRPr="006A7540">
        <w:rPr>
          <w:rFonts w:ascii="Myriad Pro" w:hAnsi="Myriad Pro"/>
          <w:sz w:val="24"/>
          <w:szCs w:val="24"/>
          <w:lang w:val="en-US"/>
        </w:rPr>
        <w:t xml:space="preserve">The dominant character of a theory often does not coincide with its correction. </w:t>
      </w:r>
      <w:proofErr w:type="gramStart"/>
      <w:r w:rsidRPr="006A7540">
        <w:rPr>
          <w:rFonts w:ascii="Myriad Pro" w:hAnsi="Myriad Pro"/>
          <w:sz w:val="24"/>
          <w:szCs w:val="24"/>
          <w:lang w:val="en-US"/>
        </w:rPr>
        <w:t>this</w:t>
      </w:r>
      <w:proofErr w:type="gramEnd"/>
      <w:r w:rsidRPr="006A7540">
        <w:rPr>
          <w:rFonts w:ascii="Myriad Pro" w:hAnsi="Myriad Pro"/>
          <w:sz w:val="24"/>
          <w:szCs w:val="24"/>
          <w:lang w:val="en-US"/>
        </w:rPr>
        <w:t xml:space="preserve"> is the case. The correct answer to the problem lies in the legal regulation of complicity and in the principles that govern participation. </w:t>
      </w:r>
    </w:p>
    <w:p w14:paraId="6EBD88A1" w14:textId="3DB32A22" w:rsidR="0059472D" w:rsidRPr="006A7540" w:rsidRDefault="003D3323" w:rsidP="006A7540">
      <w:pPr>
        <w:spacing w:after="0"/>
        <w:jc w:val="both"/>
        <w:rPr>
          <w:rFonts w:ascii="Myriad Pro" w:hAnsi="Myriad Pro" w:cs="Times New Roman"/>
          <w:sz w:val="24"/>
          <w:szCs w:val="24"/>
          <w:lang w:val="en-US"/>
        </w:rPr>
      </w:pPr>
      <w:r w:rsidRPr="006A7540">
        <w:rPr>
          <w:rFonts w:ascii="Myriad Pro" w:eastAsiaTheme="majorEastAsia" w:hAnsi="Myriad Pro" w:cstheme="majorBidi"/>
          <w:b/>
          <w:bCs/>
          <w:sz w:val="24"/>
          <w:szCs w:val="24"/>
          <w:lang w:val="en-US"/>
        </w:rPr>
        <w:t xml:space="preserve">Keywords: </w:t>
      </w:r>
      <w:r w:rsidR="00132127" w:rsidRPr="006A7540">
        <w:rPr>
          <w:rFonts w:ascii="Myriad Pro" w:eastAsiaTheme="majorEastAsia" w:hAnsi="Myriad Pro" w:cstheme="majorBidi"/>
          <w:bCs/>
          <w:sz w:val="24"/>
          <w:szCs w:val="24"/>
          <w:lang w:val="en-US"/>
        </w:rPr>
        <w:t>Neutral behaviors; Professional behaviors; Implication; Accessory; Partic</w:t>
      </w:r>
      <w:r w:rsidR="00132127" w:rsidRPr="006A7540">
        <w:rPr>
          <w:rFonts w:ascii="Myriad Pro" w:eastAsiaTheme="majorEastAsia" w:hAnsi="Myriad Pro" w:cstheme="majorBidi"/>
          <w:bCs/>
          <w:sz w:val="24"/>
          <w:szCs w:val="24"/>
          <w:lang w:val="en-US"/>
        </w:rPr>
        <w:t>i</w:t>
      </w:r>
      <w:r w:rsidR="00132127" w:rsidRPr="006A7540">
        <w:rPr>
          <w:rFonts w:ascii="Myriad Pro" w:eastAsiaTheme="majorEastAsia" w:hAnsi="Myriad Pro" w:cstheme="majorBidi"/>
          <w:bCs/>
          <w:sz w:val="24"/>
          <w:szCs w:val="24"/>
          <w:lang w:val="en-US"/>
        </w:rPr>
        <w:t>pation.</w:t>
      </w:r>
    </w:p>
    <w:p w14:paraId="782F77C1" w14:textId="77777777" w:rsidR="0059472D" w:rsidRPr="006A7540" w:rsidRDefault="0059472D" w:rsidP="006A7540">
      <w:pPr>
        <w:spacing w:after="0"/>
        <w:jc w:val="both"/>
        <w:rPr>
          <w:rFonts w:ascii="Myriad Pro" w:hAnsi="Myriad Pro" w:cs="Times New Roman"/>
          <w:sz w:val="24"/>
          <w:szCs w:val="24"/>
          <w:lang w:val="en-US"/>
        </w:rPr>
      </w:pPr>
    </w:p>
    <w:p w14:paraId="355078C3" w14:textId="77777777" w:rsidR="006A7540" w:rsidRPr="006A7540" w:rsidRDefault="006A7540" w:rsidP="006A7540">
      <w:pPr>
        <w:spacing w:after="0"/>
        <w:jc w:val="both"/>
        <w:rPr>
          <w:rFonts w:ascii="Myriad Pro" w:hAnsi="Myriad Pro"/>
          <w:sz w:val="24"/>
          <w:szCs w:val="24"/>
        </w:rPr>
      </w:pPr>
      <w:r w:rsidRPr="006A7540">
        <w:rPr>
          <w:rFonts w:ascii="Myriad Pro" w:hAnsi="Myriad Pro"/>
          <w:sz w:val="24"/>
          <w:szCs w:val="24"/>
        </w:rPr>
        <w:t xml:space="preserve">Fecha de recepción: 10 de julio de 2019 </w:t>
      </w:r>
    </w:p>
    <w:p w14:paraId="43427F63" w14:textId="6B3596BF" w:rsidR="006A7540" w:rsidRPr="006A7540" w:rsidRDefault="006A7540" w:rsidP="006A7540">
      <w:pPr>
        <w:spacing w:after="0"/>
        <w:jc w:val="both"/>
        <w:rPr>
          <w:rFonts w:ascii="Myriad Pro" w:hAnsi="Myriad Pro"/>
          <w:sz w:val="24"/>
          <w:szCs w:val="24"/>
        </w:rPr>
      </w:pPr>
      <w:r w:rsidRPr="006A7540">
        <w:rPr>
          <w:rFonts w:ascii="Myriad Pro" w:hAnsi="Myriad Pro"/>
          <w:sz w:val="24"/>
          <w:szCs w:val="24"/>
        </w:rPr>
        <w:t>Fecha de aceptación: 04 de marzo de 2020</w:t>
      </w:r>
    </w:p>
    <w:p w14:paraId="03BF4237" w14:textId="77777777" w:rsidR="00132127" w:rsidRPr="006A7540" w:rsidRDefault="00132127" w:rsidP="00132127">
      <w:pPr>
        <w:rPr>
          <w:lang w:eastAsia="es-ES"/>
        </w:rPr>
      </w:pPr>
    </w:p>
    <w:p w14:paraId="252F6F36" w14:textId="77777777" w:rsidR="00132127" w:rsidRPr="00507DFF" w:rsidRDefault="00132127" w:rsidP="00132127">
      <w:pPr>
        <w:ind w:left="1134"/>
        <w:jc w:val="both"/>
        <w:rPr>
          <w:rFonts w:ascii="Myriad Pro" w:hAnsi="Myriad Pro"/>
          <w:iCs/>
          <w:lang w:val="en-US"/>
        </w:rPr>
      </w:pPr>
      <w:r w:rsidRPr="00507DFF">
        <w:rPr>
          <w:rFonts w:ascii="Myriad Pro" w:hAnsi="Myriad Pro"/>
          <w:lang w:val="en-US"/>
        </w:rPr>
        <w:t>Even paranoids have real enemies –or so the saying goes. True or partially true conclusions are indeed often supported by bad reasons. Such is the case</w:t>
      </w:r>
      <w:r w:rsidRPr="00507DFF">
        <w:rPr>
          <w:rFonts w:ascii="Myriad Pro" w:hAnsi="Myriad Pro"/>
          <w:iCs/>
          <w:lang w:val="en-US"/>
        </w:rPr>
        <w:t>.</w:t>
      </w:r>
    </w:p>
    <w:p w14:paraId="27CA334D" w14:textId="77777777" w:rsidR="00132127" w:rsidRDefault="00132127" w:rsidP="00132127">
      <w:pPr>
        <w:pStyle w:val="Prrafodelista"/>
        <w:jc w:val="right"/>
        <w:rPr>
          <w:rFonts w:ascii="Myriad Pro" w:hAnsi="Myriad Pro"/>
          <w:lang w:val="en-US"/>
        </w:rPr>
      </w:pPr>
      <w:proofErr w:type="gramStart"/>
      <w:r>
        <w:rPr>
          <w:rFonts w:ascii="Myriad Pro" w:hAnsi="Myriad Pro"/>
          <w:lang w:val="en-US"/>
        </w:rPr>
        <w:t xml:space="preserve">– </w:t>
      </w:r>
      <w:r w:rsidRPr="00507DFF">
        <w:rPr>
          <w:rFonts w:ascii="Myriad Pro" w:hAnsi="Myriad Pro"/>
          <w:lang w:val="en-US"/>
        </w:rPr>
        <w:t>Michael Moore, Causation and Responsibility, 2009</w:t>
      </w:r>
      <w:r>
        <w:rPr>
          <w:rFonts w:ascii="Myriad Pro" w:hAnsi="Myriad Pro"/>
          <w:lang w:val="en-US"/>
        </w:rPr>
        <w:t>.</w:t>
      </w:r>
      <w:proofErr w:type="gramEnd"/>
    </w:p>
    <w:p w14:paraId="42F5EC93" w14:textId="77777777" w:rsidR="006A7540" w:rsidRDefault="006A7540" w:rsidP="00132127">
      <w:pPr>
        <w:pStyle w:val="Prrafodelista"/>
        <w:jc w:val="right"/>
        <w:rPr>
          <w:rFonts w:ascii="Myriad Pro" w:hAnsi="Myriad Pro"/>
          <w:lang w:val="en-US"/>
        </w:rPr>
      </w:pPr>
    </w:p>
    <w:p w14:paraId="6F819DD7" w14:textId="77777777" w:rsidR="006A7540" w:rsidRPr="00507DFF" w:rsidRDefault="006A7540" w:rsidP="006A7540">
      <w:pPr>
        <w:pStyle w:val="Prrafodelista"/>
        <w:spacing w:after="0"/>
        <w:jc w:val="right"/>
        <w:rPr>
          <w:rFonts w:ascii="Myriad Pro" w:hAnsi="Myriad Pro"/>
          <w:lang w:val="en-US"/>
        </w:rPr>
      </w:pPr>
    </w:p>
    <w:p w14:paraId="3A8E575A" w14:textId="131ECBCB" w:rsidR="00240B25" w:rsidRPr="006A7540" w:rsidRDefault="00BF1F2A" w:rsidP="006A7540">
      <w:pPr>
        <w:jc w:val="center"/>
        <w:rPr>
          <w:rFonts w:ascii="Myriad Pro" w:hAnsi="Myriad Pro"/>
          <w:b/>
          <w:sz w:val="32"/>
          <w:szCs w:val="32"/>
          <w:lang w:eastAsia="es-ES"/>
        </w:rPr>
      </w:pPr>
      <w:r w:rsidRPr="006A7540">
        <w:rPr>
          <w:rFonts w:ascii="Myriad Pro" w:hAnsi="Myriad Pro"/>
          <w:b/>
          <w:sz w:val="32"/>
          <w:szCs w:val="32"/>
          <w:lang w:eastAsia="es-ES"/>
        </w:rPr>
        <w:t>Introducción</w:t>
      </w:r>
    </w:p>
    <w:p w14:paraId="5A912429" w14:textId="1B305B45" w:rsidR="006A7540" w:rsidRDefault="006A7540" w:rsidP="006A7540">
      <w:pPr>
        <w:widowControl w:val="0"/>
        <w:autoSpaceDE w:val="0"/>
        <w:autoSpaceDN w:val="0"/>
        <w:adjustRightInd w:val="0"/>
        <w:spacing w:after="0" w:line="240" w:lineRule="auto"/>
        <w:jc w:val="both"/>
        <w:rPr>
          <w:rFonts w:ascii="Myriad Pro" w:hAnsi="Myriad Pro"/>
          <w:sz w:val="24"/>
          <w:szCs w:val="24"/>
          <w:lang w:val="es-ES_tradnl"/>
        </w:rPr>
      </w:pPr>
    </w:p>
    <w:p w14:paraId="630A3F6E" w14:textId="77777777" w:rsidR="006A7540" w:rsidRDefault="006A7540" w:rsidP="006A7540">
      <w:pPr>
        <w:widowControl w:val="0"/>
        <w:autoSpaceDE w:val="0"/>
        <w:autoSpaceDN w:val="0"/>
        <w:adjustRightInd w:val="0"/>
        <w:spacing w:after="0" w:line="240" w:lineRule="auto"/>
        <w:jc w:val="both"/>
        <w:rPr>
          <w:rFonts w:ascii="Myriad Pro" w:hAnsi="Myriad Pro"/>
          <w:sz w:val="24"/>
          <w:szCs w:val="24"/>
          <w:lang w:val="es-ES_tradnl"/>
        </w:rPr>
      </w:pPr>
    </w:p>
    <w:p w14:paraId="75369B9B" w14:textId="1216D1DA" w:rsidR="00132127" w:rsidRPr="00132127" w:rsidRDefault="006A7540" w:rsidP="00132127">
      <w:pPr>
        <w:widowControl w:val="0"/>
        <w:autoSpaceDE w:val="0"/>
        <w:autoSpaceDN w:val="0"/>
        <w:adjustRightInd w:val="0"/>
        <w:spacing w:before="200"/>
        <w:jc w:val="both"/>
        <w:rPr>
          <w:rFonts w:ascii="Myriad Pro" w:hAnsi="Myriad Pro"/>
          <w:sz w:val="24"/>
          <w:szCs w:val="24"/>
          <w:lang w:val="es-ES_tradnl"/>
        </w:rPr>
      </w:pPr>
      <w:r>
        <w:rPr>
          <w:rFonts w:ascii="Myriad Pro" w:hAnsi="Myriad Pro"/>
          <w:sz w:val="24"/>
          <w:szCs w:val="24"/>
          <w:lang w:val="es-ES_tradnl"/>
        </w:rPr>
        <w:tab/>
      </w:r>
      <w:r w:rsidR="00132127" w:rsidRPr="00132127">
        <w:rPr>
          <w:rFonts w:ascii="Myriad Pro" w:hAnsi="Myriad Pro"/>
          <w:sz w:val="24"/>
          <w:szCs w:val="24"/>
          <w:lang w:val="es-ES_tradnl"/>
        </w:rPr>
        <w:t>La posibilidad de que las acciones cotidianas, es decir, tanto acciones prof</w:t>
      </w:r>
      <w:r w:rsidR="00132127" w:rsidRPr="00132127">
        <w:rPr>
          <w:rFonts w:ascii="Myriad Pro" w:hAnsi="Myriad Pro"/>
          <w:sz w:val="24"/>
          <w:szCs w:val="24"/>
          <w:lang w:val="es-ES_tradnl"/>
        </w:rPr>
        <w:t>e</w:t>
      </w:r>
      <w:r w:rsidR="00132127" w:rsidRPr="00132127">
        <w:rPr>
          <w:rFonts w:ascii="Myriad Pro" w:hAnsi="Myriad Pro"/>
          <w:sz w:val="24"/>
          <w:szCs w:val="24"/>
          <w:lang w:val="es-ES_tradnl"/>
        </w:rPr>
        <w:t xml:space="preserve">sionales como aquellas denominadas </w:t>
      </w:r>
      <w:r w:rsidR="00132127" w:rsidRPr="00132127">
        <w:rPr>
          <w:rFonts w:ascii="Myriad Pro" w:hAnsi="Myriad Pro"/>
          <w:i/>
          <w:sz w:val="24"/>
          <w:szCs w:val="24"/>
          <w:lang w:val="es-ES_tradnl"/>
        </w:rPr>
        <w:t>neutrales</w:t>
      </w:r>
      <w:r w:rsidR="00132127" w:rsidRPr="00132127">
        <w:rPr>
          <w:rFonts w:ascii="Myriad Pro" w:hAnsi="Myriad Pro"/>
          <w:sz w:val="24"/>
          <w:szCs w:val="24"/>
          <w:lang w:val="es-ES_tradnl"/>
        </w:rPr>
        <w:t xml:space="preserve">, puedan ser </w:t>
      </w:r>
      <w:proofErr w:type="gramStart"/>
      <w:r w:rsidR="00132127" w:rsidRPr="00132127">
        <w:rPr>
          <w:rFonts w:ascii="Myriad Pro" w:hAnsi="Myriad Pro"/>
          <w:sz w:val="24"/>
          <w:szCs w:val="24"/>
          <w:lang w:val="es-ES_tradnl"/>
        </w:rPr>
        <w:t>calificadas</w:t>
      </w:r>
      <w:proofErr w:type="gramEnd"/>
      <w:r w:rsidR="00132127" w:rsidRPr="00132127">
        <w:rPr>
          <w:rFonts w:ascii="Myriad Pro" w:hAnsi="Myriad Pro"/>
          <w:sz w:val="24"/>
          <w:szCs w:val="24"/>
          <w:lang w:val="es-ES_tradnl"/>
        </w:rPr>
        <w:t xml:space="preserve"> como coop</w:t>
      </w:r>
      <w:r w:rsidR="00132127" w:rsidRPr="00132127">
        <w:rPr>
          <w:rFonts w:ascii="Myriad Pro" w:hAnsi="Myriad Pro"/>
          <w:sz w:val="24"/>
          <w:szCs w:val="24"/>
          <w:lang w:val="es-ES_tradnl"/>
        </w:rPr>
        <w:t>e</w:t>
      </w:r>
      <w:r w:rsidR="00132127" w:rsidRPr="00132127">
        <w:rPr>
          <w:rFonts w:ascii="Myriad Pro" w:hAnsi="Myriad Pro"/>
          <w:sz w:val="24"/>
          <w:szCs w:val="24"/>
          <w:lang w:val="es-ES_tradnl"/>
        </w:rPr>
        <w:t>ración punible, es una de las preguntas más interesantes que ha requerido especial ate</w:t>
      </w:r>
      <w:r w:rsidR="00132127" w:rsidRPr="00132127">
        <w:rPr>
          <w:rFonts w:ascii="Myriad Pro" w:hAnsi="Myriad Pro"/>
          <w:sz w:val="24"/>
          <w:szCs w:val="24"/>
          <w:lang w:val="es-ES_tradnl"/>
        </w:rPr>
        <w:t>n</w:t>
      </w:r>
      <w:r w:rsidR="00132127" w:rsidRPr="00132127">
        <w:rPr>
          <w:rFonts w:ascii="Myriad Pro" w:hAnsi="Myriad Pro"/>
          <w:sz w:val="24"/>
          <w:szCs w:val="24"/>
          <w:lang w:val="es-ES_tradnl"/>
        </w:rPr>
        <w:t>ción en Alemania en los últimos treinta años, no solo en la doctrina sino también en la jurisprudencia. Dicha pregunta ha sido abordada mediante un determinado grupo de casos, en los cuales la punibilidad de dichos comportamientos a título de complicidad ha sido especialmente discutida. Se trata de comportamientos que ap</w:t>
      </w:r>
      <w:r w:rsidR="00132127" w:rsidRPr="00132127">
        <w:rPr>
          <w:rFonts w:ascii="Myriad Pro" w:hAnsi="Myriad Pro"/>
          <w:sz w:val="24"/>
          <w:szCs w:val="24"/>
          <w:lang w:val="es-ES_tradnl"/>
        </w:rPr>
        <w:t>a</w:t>
      </w:r>
      <w:r w:rsidR="00132127" w:rsidRPr="00132127">
        <w:rPr>
          <w:rFonts w:ascii="Myriad Pro" w:hAnsi="Myriad Pro"/>
          <w:sz w:val="24"/>
          <w:szCs w:val="24"/>
          <w:lang w:val="es-ES_tradnl"/>
        </w:rPr>
        <w:t>rentan ser inofensivos</w:t>
      </w:r>
      <w:r w:rsidR="00132127" w:rsidRPr="00132127">
        <w:rPr>
          <w:rStyle w:val="Refdenotaalpie"/>
          <w:rFonts w:ascii="Myriad Pro" w:hAnsi="Myriad Pro"/>
          <w:sz w:val="24"/>
          <w:szCs w:val="24"/>
        </w:rPr>
        <w:footnoteReference w:id="1"/>
      </w:r>
      <w:r w:rsidR="00132127" w:rsidRPr="00132127">
        <w:rPr>
          <w:rFonts w:ascii="Myriad Pro" w:hAnsi="Myriad Pro"/>
          <w:sz w:val="24"/>
          <w:szCs w:val="24"/>
          <w:lang w:val="es-ES_tradnl"/>
        </w:rPr>
        <w:t>, pero cuya ejecución u omisión posibilita la realización de un delito, planteando la pregunta por las condiciones (objetivas y/o subjetivas) que d</w:t>
      </w:r>
      <w:r w:rsidR="00132127" w:rsidRPr="00132127">
        <w:rPr>
          <w:rFonts w:ascii="Myriad Pro" w:hAnsi="Myriad Pro"/>
          <w:sz w:val="24"/>
          <w:szCs w:val="24"/>
          <w:lang w:val="es-ES_tradnl"/>
        </w:rPr>
        <w:t>e</w:t>
      </w:r>
      <w:r w:rsidR="00132127" w:rsidRPr="00132127">
        <w:rPr>
          <w:rFonts w:ascii="Myriad Pro" w:hAnsi="Myriad Pro"/>
          <w:sz w:val="24"/>
          <w:szCs w:val="24"/>
          <w:lang w:val="es-ES_tradnl"/>
        </w:rPr>
        <w:t>ben ver</w:t>
      </w:r>
      <w:r w:rsidR="00132127" w:rsidRPr="00132127">
        <w:rPr>
          <w:rFonts w:ascii="Myriad Pro" w:hAnsi="Myriad Pro"/>
          <w:sz w:val="24"/>
          <w:szCs w:val="24"/>
          <w:lang w:val="es-ES_tradnl"/>
        </w:rPr>
        <w:t>i</w:t>
      </w:r>
      <w:r w:rsidR="00132127" w:rsidRPr="00132127">
        <w:rPr>
          <w:rFonts w:ascii="Myriad Pro" w:hAnsi="Myriad Pro"/>
          <w:sz w:val="24"/>
          <w:szCs w:val="24"/>
          <w:lang w:val="es-ES_tradnl"/>
        </w:rPr>
        <w:t>ficarse para que a un sujeto le sea atribuido a título de complicidad el injusto com</w:t>
      </w:r>
      <w:r w:rsidR="00132127" w:rsidRPr="00132127">
        <w:rPr>
          <w:rFonts w:ascii="Myriad Pro" w:hAnsi="Myriad Pro"/>
          <w:sz w:val="24"/>
          <w:szCs w:val="24"/>
          <w:lang w:val="es-ES_tradnl"/>
        </w:rPr>
        <w:t>e</w:t>
      </w:r>
      <w:r w:rsidR="00132127" w:rsidRPr="00132127">
        <w:rPr>
          <w:rFonts w:ascii="Myriad Pro" w:hAnsi="Myriad Pro"/>
          <w:sz w:val="24"/>
          <w:szCs w:val="24"/>
          <w:lang w:val="es-ES_tradnl"/>
        </w:rPr>
        <w:t>tido por otro. Aquel interés teórico, ha sido trasladado a nuestra cultura por distintas vías. Primero, a través de una extensa exposición del problema junto a una toma de postura por parte de Robles Planas (2003), en su obra dedicada a la partic</w:t>
      </w:r>
      <w:r w:rsidR="00132127" w:rsidRPr="00132127">
        <w:rPr>
          <w:rFonts w:ascii="Myriad Pro" w:hAnsi="Myriad Pro"/>
          <w:sz w:val="24"/>
          <w:szCs w:val="24"/>
          <w:lang w:val="es-ES_tradnl"/>
        </w:rPr>
        <w:t>i</w:t>
      </w:r>
      <w:r w:rsidR="00132127" w:rsidRPr="00132127">
        <w:rPr>
          <w:rFonts w:ascii="Myriad Pro" w:hAnsi="Myriad Pro"/>
          <w:sz w:val="24"/>
          <w:szCs w:val="24"/>
          <w:lang w:val="es-ES_tradnl"/>
        </w:rPr>
        <w:t>pación d</w:t>
      </w:r>
      <w:r w:rsidR="00132127" w:rsidRPr="00132127">
        <w:rPr>
          <w:rFonts w:ascii="Myriad Pro" w:hAnsi="Myriad Pro"/>
          <w:sz w:val="24"/>
          <w:szCs w:val="24"/>
          <w:lang w:val="es-ES_tradnl"/>
        </w:rPr>
        <w:t>e</w:t>
      </w:r>
      <w:r w:rsidR="00132127" w:rsidRPr="00132127">
        <w:rPr>
          <w:rFonts w:ascii="Myriad Pro" w:hAnsi="Myriad Pro"/>
          <w:sz w:val="24"/>
          <w:szCs w:val="24"/>
          <w:lang w:val="es-ES_tradnl"/>
        </w:rPr>
        <w:t xml:space="preserve">lictiva y la delimitación normativa de esferas de responsabilidad, así como por las repercusiones que dicha exposición generó en la discusión de habla hispana. En cuanto a las repercusiones y a título meramente ejemplar: Rueda Martín (2015); Guzmán (2010); Tisnado Solís (2018). En segundo lugar, a través del tratamiento más bien tangencial que ha recibido el problema en nuestro país. </w:t>
      </w:r>
      <w:r w:rsidR="00132127" w:rsidRPr="00132127">
        <w:rPr>
          <w:rFonts w:ascii="Myriad Pro" w:hAnsi="Myriad Pro"/>
          <w:sz w:val="24"/>
          <w:szCs w:val="24"/>
          <w:lang w:val="es-ES"/>
        </w:rPr>
        <w:t>El tratamiento del f</w:t>
      </w:r>
      <w:r w:rsidR="00132127" w:rsidRPr="00132127">
        <w:rPr>
          <w:rFonts w:ascii="Myriad Pro" w:hAnsi="Myriad Pro"/>
          <w:sz w:val="24"/>
          <w:szCs w:val="24"/>
          <w:lang w:val="es-ES"/>
        </w:rPr>
        <w:t>e</w:t>
      </w:r>
      <w:r w:rsidR="00132127" w:rsidRPr="00132127">
        <w:rPr>
          <w:rFonts w:ascii="Myriad Pro" w:hAnsi="Myriad Pro"/>
          <w:sz w:val="24"/>
          <w:szCs w:val="24"/>
          <w:lang w:val="es-ES"/>
        </w:rPr>
        <w:t xml:space="preserve">nómeno ha sido realizado desde distintos puntos de vista. A propósito de los límites de la complicidad, ver: </w:t>
      </w:r>
      <w:r w:rsidR="00132127" w:rsidRPr="00132127">
        <w:rPr>
          <w:rFonts w:ascii="Myriad Pro" w:hAnsi="Myriad Pro"/>
          <w:sz w:val="24"/>
          <w:szCs w:val="24"/>
        </w:rPr>
        <w:t>Viveros Vergara</w:t>
      </w:r>
      <w:r w:rsidR="00132127" w:rsidRPr="00132127">
        <w:rPr>
          <w:rFonts w:ascii="Myriad Pro" w:hAnsi="Myriad Pro"/>
          <w:sz w:val="24"/>
          <w:szCs w:val="24"/>
          <w:lang w:val="es-ES"/>
        </w:rPr>
        <w:t xml:space="preserve"> (2013). La relevancia para el ámbito del der</w:t>
      </w:r>
      <w:r w:rsidR="00132127" w:rsidRPr="00132127">
        <w:rPr>
          <w:rFonts w:ascii="Myriad Pro" w:hAnsi="Myriad Pro"/>
          <w:sz w:val="24"/>
          <w:szCs w:val="24"/>
          <w:lang w:val="es-ES"/>
        </w:rPr>
        <w:t>e</w:t>
      </w:r>
      <w:r w:rsidR="00132127" w:rsidRPr="00132127">
        <w:rPr>
          <w:rFonts w:ascii="Myriad Pro" w:hAnsi="Myriad Pro"/>
          <w:sz w:val="24"/>
          <w:szCs w:val="24"/>
          <w:lang w:val="es-ES"/>
        </w:rPr>
        <w:lastRenderedPageBreak/>
        <w:t>cho penal económico es destacada por van Weezel de la Cruz (2007, p. 77 y ss.) a propósito de los delitos tributarios.</w:t>
      </w:r>
    </w:p>
    <w:p w14:paraId="4AFC7A9A" w14:textId="77777777" w:rsidR="00132127" w:rsidRPr="00132127" w:rsidRDefault="00132127" w:rsidP="00132127">
      <w:pPr>
        <w:jc w:val="both"/>
        <w:rPr>
          <w:rFonts w:ascii="Myriad Pro" w:hAnsi="Myriad Pro"/>
          <w:sz w:val="24"/>
          <w:szCs w:val="24"/>
          <w:lang w:val="es-ES"/>
        </w:rPr>
      </w:pPr>
      <w:r w:rsidRPr="00132127">
        <w:rPr>
          <w:rFonts w:ascii="Myriad Pro" w:hAnsi="Myriad Pro"/>
          <w:sz w:val="24"/>
          <w:szCs w:val="24"/>
          <w:lang w:val="es-ES"/>
        </w:rPr>
        <w:tab/>
        <w:t>Dado que la constitución de la categoría ha sido desarrollada principalmente de la mano de grupos de casos –</w:t>
      </w:r>
      <w:r w:rsidRPr="00132127">
        <w:rPr>
          <w:rFonts w:ascii="Myriad Pro" w:hAnsi="Myriad Pro"/>
          <w:sz w:val="24"/>
          <w:szCs w:val="24"/>
        </w:rPr>
        <w:t>Roxin</w:t>
      </w:r>
      <w:r w:rsidRPr="00132127">
        <w:rPr>
          <w:rFonts w:ascii="Myriad Pro" w:hAnsi="Myriad Pro"/>
          <w:smallCaps/>
          <w:sz w:val="24"/>
          <w:szCs w:val="24"/>
          <w:lang w:val="es-ES"/>
        </w:rPr>
        <w:t xml:space="preserve"> </w:t>
      </w:r>
      <w:r w:rsidRPr="00132127">
        <w:rPr>
          <w:rFonts w:ascii="Myriad Pro" w:hAnsi="Myriad Pro"/>
          <w:sz w:val="24"/>
          <w:szCs w:val="24"/>
        </w:rPr>
        <w:t>(1993b, Nm.</w:t>
      </w:r>
      <w:r w:rsidRPr="00132127">
        <w:rPr>
          <w:rFonts w:ascii="Myriad Pro" w:hAnsi="Myriad Pro"/>
          <w:sz w:val="24"/>
          <w:szCs w:val="24"/>
          <w:lang w:val="es-ES"/>
        </w:rPr>
        <w:t xml:space="preserve"> 16) criticó el tratamiento previo no unitario de la categoría. El uso de casos es útil no solo para describir el problema, sino también para posibilitar la delimitación entre tipos de comportamientos lícitos e ilícitos, es por ello que comúnmente son usados casos para la argumentación. Una interesante elaboración de grupos de casos fue desarrollada por Wohlleben (1996, pp. 7 y ss., 32 y ss.) quien al comienzo de su monografía presenta distintos casos como objeto de su investigación y, posteriormente en el mismo texto, prueba las soluciones de los distintos autores sobre ellos</w:t>
      </w:r>
      <w:r w:rsidRPr="00132127">
        <w:rPr>
          <w:rFonts w:ascii="Myriad Pro" w:hAnsi="Myriad Pro"/>
          <w:sz w:val="24"/>
          <w:szCs w:val="24"/>
        </w:rPr>
        <w:t xml:space="preserve">. </w:t>
      </w:r>
      <w:r w:rsidRPr="00132127">
        <w:rPr>
          <w:rFonts w:ascii="Myriad Pro" w:hAnsi="Myriad Pro"/>
          <w:sz w:val="24"/>
          <w:szCs w:val="24"/>
          <w:lang w:val="es-ES"/>
        </w:rPr>
        <w:t xml:space="preserve">Es necesario precisar que la determinación del objeto de análisis mediante la agrupación de casos constituye una aproximación metodológica diversa a aquella que, por ejemplo, propicia </w:t>
      </w:r>
      <w:r w:rsidRPr="00132127">
        <w:rPr>
          <w:rFonts w:ascii="Myriad Pro" w:hAnsi="Myriad Pro"/>
          <w:sz w:val="24"/>
          <w:szCs w:val="24"/>
        </w:rPr>
        <w:t>Roxin</w:t>
      </w:r>
      <w:r w:rsidRPr="00132127">
        <w:rPr>
          <w:rFonts w:ascii="Myriad Pro" w:hAnsi="Myriad Pro"/>
          <w:sz w:val="24"/>
          <w:szCs w:val="24"/>
          <w:lang w:val="es-ES"/>
        </w:rPr>
        <w:t xml:space="preserve"> (</w:t>
      </w:r>
      <w:r w:rsidRPr="00132127">
        <w:rPr>
          <w:rFonts w:ascii="Myriad Pro" w:hAnsi="Myriad Pro"/>
          <w:bCs/>
          <w:sz w:val="24"/>
          <w:szCs w:val="24"/>
          <w:lang w:val="es-ES"/>
        </w:rPr>
        <w:t xml:space="preserve">2006b, </w:t>
      </w:r>
      <w:r w:rsidRPr="00132127">
        <w:rPr>
          <w:rFonts w:ascii="Myriad Pro" w:hAnsi="Myriad Pro"/>
          <w:sz w:val="24"/>
          <w:szCs w:val="24"/>
          <w:lang w:val="es-ES"/>
        </w:rPr>
        <w:t>pp. 230 y 231), al plantear la necesidad de abrir el sistema dogmático a “la naturaleza de las cosas” o a las circunstancias reales. Dicho sistema reconoce que los casos no entregan criterios de valoración jurídica que permita delimitar adecuadamente el objeto de análisis y su tratamiento, pero facilita la explicitación de los criterios y del tratamiento diverso que pueden presentar determinados subgrupos de ellos– para co</w:t>
      </w:r>
      <w:r w:rsidRPr="00132127">
        <w:rPr>
          <w:rFonts w:ascii="Myriad Pro" w:hAnsi="Myriad Pro"/>
          <w:sz w:val="24"/>
          <w:szCs w:val="24"/>
          <w:lang w:val="es-ES"/>
        </w:rPr>
        <w:t>m</w:t>
      </w:r>
      <w:r w:rsidRPr="00132127">
        <w:rPr>
          <w:rFonts w:ascii="Myriad Pro" w:hAnsi="Myriad Pro"/>
          <w:sz w:val="24"/>
          <w:szCs w:val="24"/>
          <w:lang w:val="es-ES"/>
        </w:rPr>
        <w:t xml:space="preserve">prender mejor el objeto de referencia del problema es recomendable comenzar por la correcta y concentrada recopilación </w:t>
      </w:r>
      <w:r w:rsidRPr="00132127">
        <w:rPr>
          <w:rFonts w:ascii="Myriad Pro" w:hAnsi="Myriad Pro"/>
          <w:sz w:val="24"/>
          <w:szCs w:val="24"/>
          <w:lang w:val="es-ES_tradnl"/>
        </w:rPr>
        <w:t>—</w:t>
      </w:r>
      <w:r w:rsidRPr="00132127">
        <w:rPr>
          <w:rFonts w:ascii="Myriad Pro" w:hAnsi="Myriad Pro"/>
          <w:sz w:val="24"/>
          <w:szCs w:val="24"/>
          <w:lang w:val="es-ES"/>
        </w:rPr>
        <w:t>desarrollada por Rengier</w:t>
      </w:r>
      <w:r w:rsidRPr="00132127">
        <w:rPr>
          <w:rFonts w:ascii="Myriad Pro" w:hAnsi="Myriad Pro"/>
          <w:sz w:val="24"/>
          <w:szCs w:val="24"/>
          <w:lang w:val="es-ES_tradnl"/>
        </w:rPr>
        <w:t>—</w:t>
      </w:r>
      <w:r w:rsidRPr="00132127">
        <w:rPr>
          <w:rFonts w:ascii="Myriad Pro" w:hAnsi="Myriad Pro"/>
          <w:sz w:val="24"/>
          <w:szCs w:val="24"/>
          <w:lang w:val="es-ES"/>
        </w:rPr>
        <w:t xml:space="preserve"> de casos susce</w:t>
      </w:r>
      <w:r w:rsidRPr="00132127">
        <w:rPr>
          <w:rFonts w:ascii="Myriad Pro" w:hAnsi="Myriad Pro"/>
          <w:sz w:val="24"/>
          <w:szCs w:val="24"/>
          <w:lang w:val="es-ES"/>
        </w:rPr>
        <w:t>p</w:t>
      </w:r>
      <w:r w:rsidRPr="00132127">
        <w:rPr>
          <w:rFonts w:ascii="Myriad Pro" w:hAnsi="Myriad Pro"/>
          <w:sz w:val="24"/>
          <w:szCs w:val="24"/>
          <w:lang w:val="es-ES"/>
        </w:rPr>
        <w:t xml:space="preserve">tibles de ser abarcados por esta categoría: </w:t>
      </w:r>
    </w:p>
    <w:p w14:paraId="52F831FF" w14:textId="77777777" w:rsidR="00132127" w:rsidRPr="00132127" w:rsidRDefault="00132127" w:rsidP="009F33BF">
      <w:pPr>
        <w:spacing w:before="200" w:line="240" w:lineRule="auto"/>
        <w:ind w:left="1134"/>
        <w:jc w:val="both"/>
        <w:rPr>
          <w:rFonts w:ascii="Myriad Pro" w:hAnsi="Myriad Pro"/>
          <w:sz w:val="24"/>
          <w:szCs w:val="24"/>
          <w:lang w:val="es-ES"/>
        </w:rPr>
      </w:pPr>
      <w:r w:rsidRPr="00132127">
        <w:rPr>
          <w:rFonts w:ascii="Myriad Pro" w:hAnsi="Myriad Pro"/>
          <w:sz w:val="24"/>
          <w:szCs w:val="24"/>
          <w:lang w:val="de-DE"/>
        </w:rPr>
        <w:t>Beispiele: Verkauf eines Brot- oder Taschenmessers oder Werkzeugs (Schraubenzieher, Hammer), das der Käufer zu einer Tötung, Verletzung oder einem Diebstahl benutzt; Verkauf von Streichhölzern an einen späteren Brandstifter; Verkauf eines Getränks, in das Gift gemischt werden soll, um jemanden zu töten; Verkauf von Kleidungsstücken zum Tarnen; Vermietung eines Fahrzeug an eine Diebesbande oder einen Täter, der damit, um Steuern zu hinterziehen, Gelder ins Ausland transportierten will; Fahrt von Täter zum Tatort durch Taxifahrer; Verlagerung von Kundengeldern ins Ausland durch Bankmitarbeiter, um Steuern zu hinterziehen</w:t>
      </w:r>
      <w:r w:rsidRPr="00132127">
        <w:rPr>
          <w:rStyle w:val="Refdenotaalpie"/>
          <w:rFonts w:ascii="Myriad Pro" w:hAnsi="Myriad Pro"/>
          <w:sz w:val="24"/>
          <w:szCs w:val="24"/>
          <w:lang w:val="es-ES"/>
        </w:rPr>
        <w:footnoteReference w:id="2"/>
      </w:r>
      <w:r w:rsidRPr="00132127">
        <w:rPr>
          <w:rFonts w:ascii="Myriad Pro" w:hAnsi="Myriad Pro"/>
          <w:sz w:val="24"/>
          <w:szCs w:val="24"/>
          <w:lang w:val="de-DE"/>
        </w:rPr>
        <w:t xml:space="preserve">. </w:t>
      </w:r>
      <w:r w:rsidRPr="00132127">
        <w:rPr>
          <w:rFonts w:ascii="Myriad Pro" w:hAnsi="Myriad Pro"/>
          <w:sz w:val="24"/>
          <w:szCs w:val="24"/>
          <w:lang w:val="es-ES"/>
        </w:rPr>
        <w:t>(Rengier, 2016, p. 436)</w:t>
      </w:r>
      <w:r w:rsidRPr="00132127">
        <w:rPr>
          <w:rFonts w:ascii="Myriad Pro" w:hAnsi="Myriad Pro"/>
          <w:sz w:val="24"/>
          <w:szCs w:val="24"/>
          <w:vertAlign w:val="superscript"/>
          <w:lang w:val="es-ES"/>
        </w:rPr>
        <w:footnoteReference w:id="3"/>
      </w:r>
      <w:r w:rsidRPr="00132127">
        <w:rPr>
          <w:rFonts w:ascii="Myriad Pro" w:hAnsi="Myriad Pro"/>
          <w:sz w:val="24"/>
          <w:szCs w:val="24"/>
          <w:lang w:val="es-ES"/>
        </w:rPr>
        <w:t xml:space="preserve"> </w:t>
      </w:r>
    </w:p>
    <w:p w14:paraId="16A2EB7D" w14:textId="77777777" w:rsidR="00132127" w:rsidRPr="00132127" w:rsidRDefault="00132127" w:rsidP="00132127">
      <w:pPr>
        <w:widowControl w:val="0"/>
        <w:autoSpaceDE w:val="0"/>
        <w:autoSpaceDN w:val="0"/>
        <w:adjustRightInd w:val="0"/>
        <w:jc w:val="both"/>
        <w:rPr>
          <w:rFonts w:ascii="Myriad Pro" w:hAnsi="Myriad Pro"/>
          <w:sz w:val="24"/>
          <w:szCs w:val="24"/>
        </w:rPr>
      </w:pPr>
      <w:r w:rsidRPr="00132127">
        <w:rPr>
          <w:rFonts w:ascii="Myriad Pro" w:hAnsi="Myriad Pro"/>
          <w:sz w:val="24"/>
          <w:szCs w:val="24"/>
          <w:lang w:val="es-ES"/>
        </w:rPr>
        <w:tab/>
        <w:t>Con acento en los conocimientos de quien realiza la prestación, Roxin (1993b) presenta una constelación de casos similar y agrega uno interesante relativo al Derecho penal del medio ambiente: “</w:t>
      </w:r>
      <w:r w:rsidRPr="00132127">
        <w:rPr>
          <w:rFonts w:ascii="Myriad Pro" w:hAnsi="Myriad Pro"/>
          <w:sz w:val="24"/>
          <w:szCs w:val="24"/>
        </w:rPr>
        <w:t xml:space="preserve">Ist es Beihilfe zu Umweltstraftaten, wenn jemand Material an einen Fabrikanten liefert, von dem ihm bekannt ist, daß dieser </w:t>
      </w:r>
      <w:r w:rsidRPr="00132127">
        <w:rPr>
          <w:rFonts w:ascii="Myriad Pro" w:hAnsi="Myriad Pro"/>
          <w:sz w:val="24"/>
          <w:szCs w:val="24"/>
        </w:rPr>
        <w:lastRenderedPageBreak/>
        <w:t>bei der Verarbeitung ständig gegen Umweltschutzvorschriften verstößt?” (Nm. 16)</w:t>
      </w:r>
      <w:r w:rsidRPr="00132127">
        <w:rPr>
          <w:rFonts w:ascii="Myriad Pro" w:hAnsi="Myriad Pro"/>
          <w:sz w:val="24"/>
          <w:szCs w:val="24"/>
          <w:vertAlign w:val="superscript"/>
        </w:rPr>
        <w:footnoteReference w:id="4"/>
      </w:r>
      <w:r w:rsidRPr="00132127">
        <w:rPr>
          <w:rFonts w:ascii="Myriad Pro" w:hAnsi="Myriad Pro"/>
          <w:sz w:val="24"/>
          <w:szCs w:val="24"/>
        </w:rPr>
        <w:t xml:space="preserve"> .</w:t>
      </w:r>
    </w:p>
    <w:p w14:paraId="0330EAD0" w14:textId="77777777" w:rsidR="00132127" w:rsidRPr="00132127" w:rsidRDefault="00132127" w:rsidP="00132127">
      <w:pPr>
        <w:widowControl w:val="0"/>
        <w:autoSpaceDE w:val="0"/>
        <w:autoSpaceDN w:val="0"/>
        <w:adjustRightInd w:val="0"/>
        <w:spacing w:before="200"/>
        <w:jc w:val="both"/>
        <w:rPr>
          <w:rFonts w:ascii="Myriad Pro" w:hAnsi="Myriad Pro"/>
          <w:sz w:val="24"/>
          <w:szCs w:val="24"/>
          <w:lang w:val="es-ES_tradnl"/>
        </w:rPr>
      </w:pPr>
      <w:r w:rsidRPr="00132127">
        <w:rPr>
          <w:rFonts w:ascii="Myriad Pro" w:hAnsi="Myriad Pro"/>
          <w:sz w:val="24"/>
          <w:szCs w:val="24"/>
          <w:lang w:val="es-ES"/>
        </w:rPr>
        <w:tab/>
        <w:t xml:space="preserve">El planteamiento del problema en Alemania ha partido desde un diagnóstico mayoritario en la doctrina: no existe una restricción normativa suficiente en el propio § 27 </w:t>
      </w:r>
      <w:r w:rsidRPr="00132127">
        <w:rPr>
          <w:rFonts w:ascii="Myriad Pro" w:hAnsi="Myriad Pro"/>
          <w:sz w:val="24"/>
          <w:szCs w:val="24"/>
        </w:rPr>
        <w:t>Strafgesetzbuch</w:t>
      </w:r>
      <w:r w:rsidRPr="00132127">
        <w:rPr>
          <w:rFonts w:ascii="Myriad Pro" w:hAnsi="Myriad Pro"/>
          <w:sz w:val="24"/>
          <w:szCs w:val="24"/>
          <w:lang w:val="es-ES"/>
        </w:rPr>
        <w:t xml:space="preserve"> (StGB)</w:t>
      </w:r>
      <w:r w:rsidRPr="00132127">
        <w:rPr>
          <w:rFonts w:ascii="Myriad Pro" w:hAnsi="Myriad Pro"/>
          <w:sz w:val="24"/>
          <w:szCs w:val="24"/>
          <w:vertAlign w:val="superscript"/>
        </w:rPr>
        <w:footnoteReference w:id="5"/>
      </w:r>
      <w:r w:rsidRPr="00132127">
        <w:rPr>
          <w:rFonts w:ascii="Myriad Pro" w:hAnsi="Myriad Pro"/>
          <w:sz w:val="24"/>
          <w:szCs w:val="24"/>
          <w:lang w:val="es-ES"/>
        </w:rPr>
        <w:t xml:space="preserve">, para excluir la punibilidad de las conductas denominadas </w:t>
      </w:r>
      <w:r w:rsidRPr="00132127">
        <w:rPr>
          <w:rFonts w:ascii="Myriad Pro" w:hAnsi="Myriad Pro"/>
          <w:i/>
          <w:sz w:val="24"/>
          <w:szCs w:val="24"/>
          <w:lang w:val="es-ES"/>
        </w:rPr>
        <w:t>neutrales</w:t>
      </w:r>
      <w:r w:rsidRPr="00132127">
        <w:rPr>
          <w:rFonts w:ascii="Myriad Pro" w:hAnsi="Myriad Pro"/>
          <w:sz w:val="24"/>
          <w:szCs w:val="24"/>
          <w:lang w:val="es-ES_tradnl"/>
        </w:rPr>
        <w:t xml:space="preserve">. Minoritariamente, </w:t>
      </w:r>
      <w:r w:rsidRPr="00132127">
        <w:rPr>
          <w:rFonts w:ascii="Myriad Pro" w:hAnsi="Myriad Pro"/>
          <w:sz w:val="24"/>
          <w:szCs w:val="24"/>
          <w:lang w:val="es-ES"/>
        </w:rPr>
        <w:t xml:space="preserve">todavía persisten en </w:t>
      </w:r>
      <w:proofErr w:type="gramStart"/>
      <w:r w:rsidRPr="00132127">
        <w:rPr>
          <w:rFonts w:ascii="Myriad Pro" w:hAnsi="Myriad Pro"/>
          <w:sz w:val="24"/>
          <w:szCs w:val="24"/>
          <w:lang w:val="es-ES"/>
        </w:rPr>
        <w:t>la literatura algunas opiniones que están a favor de renunciar a restricciones especiales (</w:t>
      </w:r>
      <w:r w:rsidRPr="00132127">
        <w:rPr>
          <w:rFonts w:ascii="Myriad Pro" w:hAnsi="Myriad Pro"/>
          <w:sz w:val="24"/>
          <w:szCs w:val="24"/>
        </w:rPr>
        <w:t>Niedermaier, 1995, p. 507</w:t>
      </w:r>
      <w:proofErr w:type="gramEnd"/>
      <w:r w:rsidRPr="00132127">
        <w:rPr>
          <w:rFonts w:ascii="Myriad Pro" w:hAnsi="Myriad Pro"/>
          <w:sz w:val="24"/>
          <w:szCs w:val="24"/>
        </w:rPr>
        <w:t>).</w:t>
      </w:r>
      <w:r w:rsidRPr="00132127">
        <w:rPr>
          <w:rFonts w:ascii="Myriad Pro" w:hAnsi="Myriad Pro"/>
          <w:sz w:val="24"/>
          <w:szCs w:val="24"/>
          <w:lang w:val="es-ES"/>
        </w:rPr>
        <w:t xml:space="preserve"> De acuerdo con dichas opiniones, es posible recurrir a los requisitos generales de responsabilidad penal para determinar la punibilidad de este especial grupo de c</w:t>
      </w:r>
      <w:r w:rsidRPr="00132127">
        <w:rPr>
          <w:rFonts w:ascii="Myriad Pro" w:hAnsi="Myriad Pro"/>
          <w:sz w:val="24"/>
          <w:szCs w:val="24"/>
          <w:lang w:val="es-ES"/>
        </w:rPr>
        <w:t>a</w:t>
      </w:r>
      <w:r w:rsidRPr="00132127">
        <w:rPr>
          <w:rFonts w:ascii="Myriad Pro" w:hAnsi="Myriad Pro"/>
          <w:sz w:val="24"/>
          <w:szCs w:val="24"/>
          <w:lang w:val="es-ES"/>
        </w:rPr>
        <w:t>sos, dado que no resulta aceptable para un sistema penal orientado por la protección de bienes jurídicos un tratamiento privilegiado para estos –</w:t>
      </w:r>
      <w:r w:rsidRPr="00132127">
        <w:rPr>
          <w:rFonts w:ascii="Myriad Pro" w:hAnsi="Myriad Pro"/>
          <w:sz w:val="24"/>
          <w:szCs w:val="24"/>
        </w:rPr>
        <w:t>en este sentido Niede</w:t>
      </w:r>
      <w:r w:rsidRPr="00132127">
        <w:rPr>
          <w:rFonts w:ascii="Myriad Pro" w:hAnsi="Myriad Pro"/>
          <w:sz w:val="24"/>
          <w:szCs w:val="24"/>
        </w:rPr>
        <w:t>r</w:t>
      </w:r>
      <w:r w:rsidRPr="00132127">
        <w:rPr>
          <w:rFonts w:ascii="Myriad Pro" w:hAnsi="Myriad Pro"/>
          <w:sz w:val="24"/>
          <w:szCs w:val="24"/>
        </w:rPr>
        <w:t>maier (1995, p. 543); conforme, Beckemper (2001, p. 169)–</w:t>
      </w:r>
      <w:r w:rsidRPr="00132127">
        <w:rPr>
          <w:rFonts w:ascii="Myriad Pro" w:hAnsi="Myriad Pro"/>
          <w:sz w:val="24"/>
          <w:szCs w:val="24"/>
          <w:lang w:val="es-ES"/>
        </w:rPr>
        <w:t>.</w:t>
      </w:r>
      <w:r w:rsidRPr="00132127">
        <w:rPr>
          <w:rFonts w:ascii="Myriad Pro" w:hAnsi="Myriad Pro"/>
          <w:sz w:val="24"/>
          <w:szCs w:val="24"/>
          <w:vertAlign w:val="superscript"/>
        </w:rPr>
        <w:t xml:space="preserve"> </w:t>
      </w:r>
      <w:r w:rsidRPr="00132127">
        <w:rPr>
          <w:rFonts w:ascii="Myriad Pro" w:hAnsi="Myriad Pro"/>
          <w:sz w:val="24"/>
          <w:szCs w:val="24"/>
          <w:lang w:val="es-ES_tradnl"/>
        </w:rPr>
        <w:t>Ante ello, se plantean las siguientes preguntas: ¿debe otorgársele un tratamiento especial —penalmente priv</w:t>
      </w:r>
      <w:r w:rsidRPr="00132127">
        <w:rPr>
          <w:rFonts w:ascii="Myriad Pro" w:hAnsi="Myriad Pro"/>
          <w:sz w:val="24"/>
          <w:szCs w:val="24"/>
          <w:lang w:val="es-ES_tradnl"/>
        </w:rPr>
        <w:t>i</w:t>
      </w:r>
      <w:r w:rsidRPr="00132127">
        <w:rPr>
          <w:rFonts w:ascii="Myriad Pro" w:hAnsi="Myriad Pro"/>
          <w:sz w:val="24"/>
          <w:szCs w:val="24"/>
          <w:lang w:val="es-ES_tradnl"/>
        </w:rPr>
        <w:t>legiado— a estos comportamientos para limitar su punibilidad? En caso afirmativo, ¿en cuál nivel de la teoría general del delito? En el nivel del tipo objetivo, del tipo subjetivo, en una mezcla de ambos, o en el nivel de la antijuridicidad, son algunas de las propuestas. Pese a que el curso de la discusión alemana ha mostrado un progres</w:t>
      </w:r>
      <w:r w:rsidRPr="00132127">
        <w:rPr>
          <w:rFonts w:ascii="Myriad Pro" w:hAnsi="Myriad Pro"/>
          <w:sz w:val="24"/>
          <w:szCs w:val="24"/>
          <w:lang w:val="es-ES_tradnl"/>
        </w:rPr>
        <w:t>i</w:t>
      </w:r>
      <w:r w:rsidRPr="00132127">
        <w:rPr>
          <w:rFonts w:ascii="Myriad Pro" w:hAnsi="Myriad Pro"/>
          <w:sz w:val="24"/>
          <w:szCs w:val="24"/>
          <w:lang w:val="es-ES_tradnl"/>
        </w:rPr>
        <w:t>vo acuerdo en los resultados de las propuestas –</w:t>
      </w:r>
      <w:r w:rsidRPr="00132127">
        <w:rPr>
          <w:rFonts w:ascii="Myriad Pro" w:hAnsi="Myriad Pro"/>
          <w:sz w:val="24"/>
          <w:szCs w:val="24"/>
          <w:lang w:val="es-ES"/>
        </w:rPr>
        <w:t>la convergencia de posiciones en su resultado es reconocida por van Weezel de la Cruz (2007, p. 83 y 84), quien la califica como una misma situación (las mismas características del hecho evaluado), observ</w:t>
      </w:r>
      <w:r w:rsidRPr="00132127">
        <w:rPr>
          <w:rFonts w:ascii="Myriad Pro" w:hAnsi="Myriad Pro"/>
          <w:sz w:val="24"/>
          <w:szCs w:val="24"/>
          <w:lang w:val="es-ES"/>
        </w:rPr>
        <w:t>a</w:t>
      </w:r>
      <w:r w:rsidRPr="00132127">
        <w:rPr>
          <w:rFonts w:ascii="Myriad Pro" w:hAnsi="Myriad Pro"/>
          <w:sz w:val="24"/>
          <w:szCs w:val="24"/>
          <w:lang w:val="es-ES"/>
        </w:rPr>
        <w:t>da desde perspectivas distintas–</w:t>
      </w:r>
      <w:r w:rsidRPr="00132127">
        <w:rPr>
          <w:rFonts w:ascii="Myriad Pro" w:hAnsi="Myriad Pro"/>
          <w:sz w:val="24"/>
          <w:szCs w:val="24"/>
          <w:lang w:val="es-ES_tradnl"/>
        </w:rPr>
        <w:t>, este trabajo tiene como objetivo exponer crític</w:t>
      </w:r>
      <w:r w:rsidRPr="00132127">
        <w:rPr>
          <w:rFonts w:ascii="Myriad Pro" w:hAnsi="Myriad Pro"/>
          <w:sz w:val="24"/>
          <w:szCs w:val="24"/>
          <w:lang w:val="es-ES_tradnl"/>
        </w:rPr>
        <w:t>a</w:t>
      </w:r>
      <w:r w:rsidRPr="00132127">
        <w:rPr>
          <w:rFonts w:ascii="Myriad Pro" w:hAnsi="Myriad Pro"/>
          <w:sz w:val="24"/>
          <w:szCs w:val="24"/>
          <w:lang w:val="es-ES_tradnl"/>
        </w:rPr>
        <w:t xml:space="preserve">mente las distintas aproximaciones que se han realizado sobre el tema en la cultura jurídico-penal alemana, de modo a traer a la nuestra una discusión de parte general que, debido a la estructura de nuestra regulación penal vigente, es completamente pertinente. </w:t>
      </w:r>
    </w:p>
    <w:p w14:paraId="06ACDD39" w14:textId="77777777" w:rsidR="00132127" w:rsidRPr="00132127" w:rsidRDefault="00132127" w:rsidP="00132127">
      <w:pPr>
        <w:widowControl w:val="0"/>
        <w:autoSpaceDE w:val="0"/>
        <w:autoSpaceDN w:val="0"/>
        <w:adjustRightInd w:val="0"/>
        <w:spacing w:before="200"/>
        <w:jc w:val="both"/>
        <w:rPr>
          <w:rFonts w:ascii="Myriad Pro" w:hAnsi="Myriad Pro"/>
          <w:sz w:val="24"/>
          <w:szCs w:val="24"/>
          <w:lang w:val="es-ES"/>
        </w:rPr>
      </w:pPr>
      <w:r w:rsidRPr="00132127">
        <w:rPr>
          <w:rFonts w:ascii="Myriad Pro" w:hAnsi="Myriad Pro"/>
          <w:sz w:val="24"/>
          <w:szCs w:val="24"/>
          <w:lang w:val="es-ES"/>
        </w:rPr>
        <w:tab/>
        <w:t xml:space="preserve">La discusión, se extiende no solo al tratamiento que deben recibir las denominadas acciones </w:t>
      </w:r>
      <w:r w:rsidRPr="00132127">
        <w:rPr>
          <w:rFonts w:ascii="Myriad Pro" w:hAnsi="Myriad Pro"/>
          <w:i/>
          <w:sz w:val="24"/>
          <w:szCs w:val="24"/>
          <w:lang w:val="es-ES"/>
        </w:rPr>
        <w:t>neutrales</w:t>
      </w:r>
      <w:r w:rsidRPr="00132127">
        <w:rPr>
          <w:rFonts w:ascii="Myriad Pro" w:hAnsi="Myriad Pro"/>
          <w:sz w:val="24"/>
          <w:szCs w:val="24"/>
          <w:lang w:val="es-ES"/>
        </w:rPr>
        <w:t xml:space="preserve"> dentro de la dogmática de la participación, sino que también a su alcance. Bajo la misma denominación son identificados casos heterogéneos, en los cuales se apela a diversos principios para su tratamiento y solución. Algunas preguntas que habitualmente emergen </w:t>
      </w:r>
      <w:r w:rsidRPr="00132127">
        <w:rPr>
          <w:rFonts w:ascii="Myriad Pro" w:hAnsi="Myriad Pro"/>
          <w:sz w:val="24"/>
          <w:szCs w:val="24"/>
          <w:lang w:val="es-ES_tradnl"/>
        </w:rPr>
        <w:t>—</w:t>
      </w:r>
      <w:r w:rsidRPr="00132127">
        <w:rPr>
          <w:rFonts w:ascii="Myriad Pro" w:hAnsi="Myriad Pro"/>
          <w:sz w:val="24"/>
          <w:szCs w:val="24"/>
          <w:lang w:val="es-ES"/>
        </w:rPr>
        <w:t>correcta o incorrectamente</w:t>
      </w:r>
      <w:r w:rsidRPr="00132127">
        <w:rPr>
          <w:rFonts w:ascii="Myriad Pro" w:hAnsi="Myriad Pro"/>
          <w:sz w:val="24"/>
          <w:szCs w:val="24"/>
          <w:lang w:val="es-ES_tradnl"/>
        </w:rPr>
        <w:t>—</w:t>
      </w:r>
      <w:r w:rsidRPr="00132127">
        <w:rPr>
          <w:rFonts w:ascii="Myriad Pro" w:hAnsi="Myriad Pro"/>
          <w:sz w:val="24"/>
          <w:szCs w:val="24"/>
          <w:lang w:val="es-ES"/>
        </w:rPr>
        <w:t xml:space="preserve"> en esta discusión son: ¿se encuentra permitido restringir la libertad de acción y de ejercicio profesional a través de la penalización de comportamientos cotidianos?, ¿qué función y efecto tienen en la imputación jurídico-penal la </w:t>
      </w:r>
      <w:r w:rsidRPr="00132127">
        <w:rPr>
          <w:rFonts w:ascii="Myriad Pro" w:hAnsi="Myriad Pro"/>
          <w:i/>
          <w:iCs/>
          <w:sz w:val="24"/>
          <w:szCs w:val="24"/>
          <w:lang w:val="es-ES"/>
        </w:rPr>
        <w:t>prohibición de regreso</w:t>
      </w:r>
      <w:r w:rsidRPr="00132127">
        <w:rPr>
          <w:rFonts w:ascii="Myriad Pro" w:hAnsi="Myriad Pro"/>
          <w:sz w:val="24"/>
          <w:szCs w:val="24"/>
          <w:lang w:val="es-ES"/>
        </w:rPr>
        <w:t xml:space="preserve"> y el </w:t>
      </w:r>
      <w:r w:rsidRPr="00132127">
        <w:rPr>
          <w:rFonts w:ascii="Myriad Pro" w:hAnsi="Myriad Pro"/>
          <w:i/>
          <w:iCs/>
          <w:sz w:val="24"/>
          <w:szCs w:val="24"/>
          <w:lang w:val="es-ES"/>
        </w:rPr>
        <w:t>principio de confianza</w:t>
      </w:r>
      <w:r w:rsidRPr="00132127">
        <w:rPr>
          <w:rFonts w:ascii="Myriad Pro" w:hAnsi="Myriad Pro"/>
          <w:sz w:val="24"/>
          <w:szCs w:val="24"/>
          <w:lang w:val="es-ES"/>
        </w:rPr>
        <w:t xml:space="preserve">?, ¿pueden dichas acciones ser calificadas como la realización de un </w:t>
      </w:r>
      <w:r w:rsidRPr="00132127">
        <w:rPr>
          <w:rFonts w:ascii="Myriad Pro" w:hAnsi="Myriad Pro"/>
          <w:i/>
          <w:iCs/>
          <w:sz w:val="24"/>
          <w:szCs w:val="24"/>
          <w:lang w:val="es-ES"/>
        </w:rPr>
        <w:t>riesgo permitido</w:t>
      </w:r>
      <w:r w:rsidRPr="00132127">
        <w:rPr>
          <w:rFonts w:ascii="Myriad Pro" w:hAnsi="Myriad Pro"/>
          <w:sz w:val="24"/>
          <w:szCs w:val="24"/>
          <w:lang w:val="es-ES"/>
        </w:rPr>
        <w:t xml:space="preserve"> o lícito?,</w:t>
      </w:r>
      <w:r w:rsidRPr="00132127">
        <w:rPr>
          <w:rFonts w:ascii="Myriad Pro" w:hAnsi="Myriad Pro"/>
          <w:sz w:val="24"/>
          <w:szCs w:val="24"/>
          <w:vertAlign w:val="superscript"/>
          <w:lang w:val="es-ES"/>
        </w:rPr>
        <w:t xml:space="preserve"> </w:t>
      </w:r>
      <w:r w:rsidRPr="00132127">
        <w:rPr>
          <w:rFonts w:ascii="Myriad Pro" w:hAnsi="Myriad Pro"/>
          <w:sz w:val="24"/>
          <w:szCs w:val="24"/>
          <w:lang w:val="es-ES"/>
        </w:rPr>
        <w:t xml:space="preserve">¿cuál es el fundamento penal de la complicidad y puede dicho injusto fundar suficientemente también la punibilidad de esta clase de acciones?, ¿qué rol juegan las reglas y expectativas del ámbito comercial para la imputación jurídico-penal?. Si bien el </w:t>
      </w:r>
      <w:r w:rsidRPr="00132127">
        <w:rPr>
          <w:rFonts w:ascii="Myriad Pro" w:hAnsi="Myriad Pro"/>
          <w:sz w:val="24"/>
          <w:szCs w:val="24"/>
          <w:lang w:val="es-ES"/>
        </w:rPr>
        <w:lastRenderedPageBreak/>
        <w:t>planteamiento de todas o parte de estas pr</w:t>
      </w:r>
      <w:r w:rsidRPr="00132127">
        <w:rPr>
          <w:rFonts w:ascii="Myriad Pro" w:hAnsi="Myriad Pro"/>
          <w:sz w:val="24"/>
          <w:szCs w:val="24"/>
          <w:lang w:val="es-ES"/>
        </w:rPr>
        <w:t>e</w:t>
      </w:r>
      <w:r w:rsidRPr="00132127">
        <w:rPr>
          <w:rFonts w:ascii="Myriad Pro" w:hAnsi="Myriad Pro"/>
          <w:sz w:val="24"/>
          <w:szCs w:val="24"/>
          <w:lang w:val="es-ES"/>
        </w:rPr>
        <w:t>guntas depende del punto de partida del autor que trate este problema, el principal libro en que todas ellas son reunidas y tratadas es</w:t>
      </w:r>
      <w:r w:rsidRPr="00132127">
        <w:rPr>
          <w:rFonts w:ascii="Myriad Pro" w:hAnsi="Myriad Pro"/>
          <w:sz w:val="24"/>
          <w:szCs w:val="24"/>
        </w:rPr>
        <w:t xml:space="preserve"> Kudlich (2004). Con posterioridad a ella es necesario destacar Rackow (2007).</w:t>
      </w:r>
    </w:p>
    <w:p w14:paraId="30AF74E7" w14:textId="36FF6423" w:rsidR="00132127" w:rsidRPr="00132127" w:rsidRDefault="00132127" w:rsidP="00132127">
      <w:pPr>
        <w:widowControl w:val="0"/>
        <w:autoSpaceDE w:val="0"/>
        <w:autoSpaceDN w:val="0"/>
        <w:adjustRightInd w:val="0"/>
        <w:spacing w:before="200"/>
        <w:jc w:val="both"/>
        <w:rPr>
          <w:rFonts w:ascii="Myriad Pro" w:hAnsi="Myriad Pro"/>
          <w:sz w:val="24"/>
          <w:szCs w:val="24"/>
        </w:rPr>
      </w:pPr>
      <w:r w:rsidRPr="00132127">
        <w:rPr>
          <w:rFonts w:ascii="Myriad Pro" w:hAnsi="Myriad Pro"/>
          <w:sz w:val="24"/>
          <w:szCs w:val="24"/>
          <w:lang w:val="es-ES"/>
        </w:rPr>
        <w:tab/>
        <w:t xml:space="preserve">El único consenso alcanzado en este ámbito radica (paradójicamente) en que un consenso general </w:t>
      </w:r>
      <w:r w:rsidRPr="00132127">
        <w:rPr>
          <w:rFonts w:ascii="Myriad Pro" w:hAnsi="Myriad Pro"/>
          <w:sz w:val="24"/>
          <w:szCs w:val="24"/>
          <w:lang w:val="es-ES_tradnl"/>
        </w:rPr>
        <w:t>—</w:t>
      </w:r>
      <w:r w:rsidRPr="00132127">
        <w:rPr>
          <w:rFonts w:ascii="Myriad Pro" w:hAnsi="Myriad Pro"/>
          <w:sz w:val="24"/>
          <w:szCs w:val="24"/>
          <w:lang w:val="es-ES"/>
        </w:rPr>
        <w:t>ya sea sobre un tratamiento unitario o diferenciado de este grupo de casos</w:t>
      </w:r>
      <w:r w:rsidRPr="00132127">
        <w:rPr>
          <w:rFonts w:ascii="Myriad Pro" w:hAnsi="Myriad Pro"/>
          <w:sz w:val="24"/>
          <w:szCs w:val="24"/>
          <w:lang w:val="es-ES_tradnl"/>
        </w:rPr>
        <w:t>—</w:t>
      </w:r>
      <w:r w:rsidRPr="00132127">
        <w:rPr>
          <w:rFonts w:ascii="Myriad Pro" w:hAnsi="Myriad Pro"/>
          <w:sz w:val="24"/>
          <w:szCs w:val="24"/>
          <w:lang w:val="es-ES"/>
        </w:rPr>
        <w:t xml:space="preserve"> no ha sido todavía alcanzado (</w:t>
      </w:r>
      <w:r w:rsidRPr="00132127">
        <w:rPr>
          <w:rFonts w:ascii="Myriad Pro" w:hAnsi="Myriad Pro"/>
          <w:sz w:val="24"/>
          <w:szCs w:val="24"/>
        </w:rPr>
        <w:t>Otto, 2001, p. 436)</w:t>
      </w:r>
      <w:r w:rsidRPr="00132127">
        <w:rPr>
          <w:rFonts w:ascii="Myriad Pro" w:hAnsi="Myriad Pro"/>
          <w:sz w:val="24"/>
          <w:szCs w:val="24"/>
          <w:lang w:val="es-ES"/>
        </w:rPr>
        <w:t>. Una revisión de las últimas contribuciones arroja, que ellas han traído más complejidad que claridad al estado de la discusión (</w:t>
      </w:r>
      <w:r w:rsidRPr="00132127">
        <w:rPr>
          <w:rFonts w:ascii="Myriad Pro" w:hAnsi="Myriad Pro"/>
          <w:sz w:val="24"/>
          <w:szCs w:val="24"/>
        </w:rPr>
        <w:t>Wiegand</w:t>
      </w:r>
      <w:r w:rsidRPr="00132127">
        <w:rPr>
          <w:rFonts w:ascii="Myriad Pro" w:hAnsi="Myriad Pro"/>
          <w:bCs/>
          <w:sz w:val="24"/>
          <w:szCs w:val="24"/>
        </w:rPr>
        <w:t>, 1998</w:t>
      </w:r>
      <w:r w:rsidRPr="00132127">
        <w:rPr>
          <w:rFonts w:ascii="Myriad Pro" w:hAnsi="Myriad Pro"/>
          <w:sz w:val="24"/>
          <w:szCs w:val="24"/>
        </w:rPr>
        <w:t xml:space="preserve">, </w:t>
      </w:r>
      <w:r w:rsidRPr="00132127">
        <w:rPr>
          <w:rFonts w:ascii="Myriad Pro" w:hAnsi="Myriad Pro"/>
          <w:bCs/>
          <w:sz w:val="24"/>
          <w:szCs w:val="24"/>
        </w:rPr>
        <w:t>p.</w:t>
      </w:r>
      <w:r w:rsidRPr="00132127">
        <w:rPr>
          <w:rFonts w:ascii="Myriad Pro" w:hAnsi="Myriad Pro"/>
          <w:sz w:val="24"/>
          <w:szCs w:val="24"/>
        </w:rPr>
        <w:t xml:space="preserve"> 198; en el mismo sentido, Joecks</w:t>
      </w:r>
      <w:r w:rsidRPr="00132127">
        <w:rPr>
          <w:rFonts w:ascii="Myriad Pro" w:hAnsi="Myriad Pro"/>
          <w:sz w:val="24"/>
          <w:szCs w:val="24"/>
          <w:lang w:val="es-ES"/>
        </w:rPr>
        <w:t xml:space="preserve">, 2017). Las distintas propuestas de tratamiento dependen de diversos principios y, naturalmente, las acciones </w:t>
      </w:r>
      <w:r w:rsidRPr="00132127">
        <w:rPr>
          <w:rFonts w:ascii="Myriad Pro" w:hAnsi="Myriad Pro"/>
          <w:i/>
          <w:sz w:val="24"/>
          <w:szCs w:val="24"/>
          <w:lang w:val="es-ES"/>
        </w:rPr>
        <w:t>neutrales</w:t>
      </w:r>
      <w:r w:rsidRPr="00132127">
        <w:rPr>
          <w:rFonts w:ascii="Myriad Pro" w:hAnsi="Myriad Pro"/>
          <w:sz w:val="24"/>
          <w:szCs w:val="24"/>
          <w:lang w:val="es-ES"/>
        </w:rPr>
        <w:t xml:space="preserve"> pueden ser analizadas desde distintos puntos de vista. Por una parte, se encuentran quienes sostienen que este grupo de casos debería ser tratado analíticamente como uno propio de la parte general del Derecho penal, dado que la pregunta se relaciona con los límites del comportamiento punible (el primero en este sentido es paradigmáticamente,</w:t>
      </w:r>
      <w:r w:rsidRPr="00132127">
        <w:rPr>
          <w:rFonts w:ascii="Myriad Pro" w:hAnsi="Myriad Pro"/>
          <w:sz w:val="24"/>
          <w:szCs w:val="24"/>
        </w:rPr>
        <w:t xml:space="preserve"> Jakobs, 1977, p. 1 y ss.). </w:t>
      </w:r>
      <w:r w:rsidRPr="00132127">
        <w:rPr>
          <w:rFonts w:ascii="Myriad Pro" w:hAnsi="Myriad Pro"/>
          <w:sz w:val="24"/>
          <w:szCs w:val="24"/>
          <w:lang w:val="es-ES"/>
        </w:rPr>
        <w:t>Por otra parte, se encuentran quienes sostienen que este problema tiene una posición conocida y determinada en la teoría de la participación, donde debe ser resuelto (opinan en ese sentido especialmente</w:t>
      </w:r>
      <w:r w:rsidRPr="00132127">
        <w:rPr>
          <w:rFonts w:ascii="Myriad Pro" w:hAnsi="Myriad Pro"/>
          <w:sz w:val="24"/>
          <w:szCs w:val="24"/>
        </w:rPr>
        <w:t xml:space="preserve"> Kindhäuser, 2007a, y Wiegand, 1998</w:t>
      </w:r>
      <w:r w:rsidRPr="00132127">
        <w:rPr>
          <w:rFonts w:ascii="Myriad Pro" w:hAnsi="Myriad Pro"/>
          <w:bCs/>
          <w:sz w:val="24"/>
          <w:szCs w:val="24"/>
        </w:rPr>
        <w:t xml:space="preserve">, </w:t>
      </w:r>
      <w:r w:rsidRPr="00132127">
        <w:rPr>
          <w:rFonts w:ascii="Myriad Pro" w:hAnsi="Myriad Pro"/>
          <w:bCs/>
          <w:sz w:val="24"/>
          <w:szCs w:val="24"/>
          <w:lang w:val="es-ES"/>
        </w:rPr>
        <w:t>como lo prueba el título de su artículo)</w:t>
      </w:r>
      <w:r w:rsidRPr="00132127">
        <w:rPr>
          <w:rFonts w:ascii="Myriad Pro" w:hAnsi="Myriad Pro"/>
          <w:sz w:val="24"/>
          <w:szCs w:val="24"/>
          <w:lang w:val="es-ES"/>
        </w:rPr>
        <w:t xml:space="preserve">. Adicionalmente, este tema tiene una notable importancia práctica en el ámbito del Derecho penal económico, por lo que muchos autores han tratado el problema de las acciones </w:t>
      </w:r>
      <w:r w:rsidRPr="00132127">
        <w:rPr>
          <w:rFonts w:ascii="Myriad Pro" w:hAnsi="Myriad Pro"/>
          <w:i/>
          <w:sz w:val="24"/>
          <w:szCs w:val="24"/>
          <w:lang w:val="es-ES"/>
        </w:rPr>
        <w:t>neutrales</w:t>
      </w:r>
      <w:r w:rsidRPr="00132127">
        <w:rPr>
          <w:rFonts w:ascii="Myriad Pro" w:hAnsi="Myriad Pro"/>
          <w:sz w:val="24"/>
          <w:szCs w:val="24"/>
          <w:lang w:val="es-ES"/>
        </w:rPr>
        <w:t xml:space="preserve"> en relación con determinados tipos penales pr</w:t>
      </w:r>
      <w:r w:rsidRPr="00132127">
        <w:rPr>
          <w:rFonts w:ascii="Myriad Pro" w:hAnsi="Myriad Pro"/>
          <w:sz w:val="24"/>
          <w:szCs w:val="24"/>
          <w:lang w:val="es-ES"/>
        </w:rPr>
        <w:t>o</w:t>
      </w:r>
      <w:r w:rsidRPr="00132127">
        <w:rPr>
          <w:rFonts w:ascii="Myriad Pro" w:hAnsi="Myriad Pro"/>
          <w:sz w:val="24"/>
          <w:szCs w:val="24"/>
          <w:lang w:val="es-ES"/>
        </w:rPr>
        <w:t>pios de dicho ámbito (</w:t>
      </w:r>
      <w:r w:rsidRPr="00132127">
        <w:rPr>
          <w:rFonts w:ascii="Myriad Pro" w:hAnsi="Myriad Pro"/>
          <w:sz w:val="24"/>
          <w:szCs w:val="24"/>
        </w:rPr>
        <w:t>Frisch, 2002, p. 539 y ss.), e</w:t>
      </w:r>
      <w:r w:rsidRPr="00132127">
        <w:rPr>
          <w:rFonts w:ascii="Myriad Pro" w:hAnsi="Myriad Pro"/>
          <w:sz w:val="24"/>
          <w:szCs w:val="24"/>
          <w:lang w:val="es-ES"/>
        </w:rPr>
        <w:t>n el mismo sentido también</w:t>
      </w:r>
      <w:r w:rsidRPr="00132127">
        <w:rPr>
          <w:rFonts w:ascii="Myriad Pro" w:hAnsi="Myriad Pro"/>
          <w:sz w:val="24"/>
          <w:szCs w:val="24"/>
        </w:rPr>
        <w:t xml:space="preserve"> Kindhäuser (2007a, p. 356). </w:t>
      </w:r>
      <w:r w:rsidRPr="00132127">
        <w:rPr>
          <w:rFonts w:ascii="Myriad Pro" w:hAnsi="Myriad Pro"/>
          <w:sz w:val="24"/>
          <w:szCs w:val="24"/>
          <w:lang w:val="es-ES"/>
        </w:rPr>
        <w:t>Un buen ejemplo sobre la utilidad de la discusión, lo constit</w:t>
      </w:r>
      <w:r w:rsidRPr="00132127">
        <w:rPr>
          <w:rFonts w:ascii="Myriad Pro" w:hAnsi="Myriad Pro"/>
          <w:sz w:val="24"/>
          <w:szCs w:val="24"/>
          <w:lang w:val="es-ES"/>
        </w:rPr>
        <w:t>u</w:t>
      </w:r>
      <w:r w:rsidRPr="00132127">
        <w:rPr>
          <w:rFonts w:ascii="Myriad Pro" w:hAnsi="Myriad Pro"/>
          <w:sz w:val="24"/>
          <w:szCs w:val="24"/>
          <w:lang w:val="es-ES"/>
        </w:rPr>
        <w:t xml:space="preserve">ye el artículo de </w:t>
      </w:r>
      <w:r w:rsidRPr="00132127">
        <w:rPr>
          <w:rFonts w:ascii="Myriad Pro" w:hAnsi="Myriad Pro"/>
          <w:sz w:val="24"/>
          <w:szCs w:val="24"/>
        </w:rPr>
        <w:t>Silva Sánchez</w:t>
      </w:r>
      <w:r w:rsidRPr="00132127">
        <w:rPr>
          <w:rFonts w:ascii="Myriad Pro" w:hAnsi="Myriad Pro"/>
          <w:sz w:val="24"/>
          <w:szCs w:val="24"/>
          <w:lang w:val="es-ES"/>
        </w:rPr>
        <w:t xml:space="preserve"> (2008, p. 237 y ss.) sobre la punibilidad de los notarios en el marco de delitos de carácter económico, otro lo constituye el ejercicio de </w:t>
      </w:r>
      <w:r w:rsidRPr="00132127">
        <w:rPr>
          <w:rFonts w:ascii="Myriad Pro" w:hAnsi="Myriad Pro"/>
          <w:sz w:val="24"/>
          <w:szCs w:val="24"/>
        </w:rPr>
        <w:t>Momsen (2010, p. 561 y ss.)</w:t>
      </w:r>
      <w:r w:rsidRPr="00132127">
        <w:rPr>
          <w:rFonts w:ascii="Myriad Pro" w:hAnsi="Myriad Pro"/>
          <w:sz w:val="24"/>
          <w:szCs w:val="24"/>
          <w:lang w:val="es-ES"/>
        </w:rPr>
        <w:t xml:space="preserve"> sobre el delito de uso de información privilegiada</w:t>
      </w:r>
      <w:r w:rsidRPr="00132127">
        <w:rPr>
          <w:rFonts w:ascii="Myriad Pro" w:hAnsi="Myriad Pro"/>
          <w:sz w:val="24"/>
          <w:szCs w:val="24"/>
        </w:rPr>
        <w:t>.</w:t>
      </w:r>
      <w:r w:rsidRPr="00132127">
        <w:rPr>
          <w:rFonts w:ascii="Myriad Pro" w:hAnsi="Myriad Pro"/>
          <w:sz w:val="24"/>
          <w:szCs w:val="24"/>
          <w:lang w:val="es-ES"/>
        </w:rPr>
        <w:t xml:space="preserve"> Esta importancia práctica se ha mostrado también en numerosas decisiones del Bundesgerichtshof (BGH)</w:t>
      </w:r>
      <w:r w:rsidRPr="00132127">
        <w:rPr>
          <w:rFonts w:ascii="Myriad Pro" w:hAnsi="Myriad Pro"/>
          <w:sz w:val="24"/>
          <w:szCs w:val="24"/>
          <w:vertAlign w:val="superscript"/>
          <w:lang w:val="es-ES"/>
        </w:rPr>
        <w:footnoteReference w:id="6"/>
      </w:r>
      <w:r w:rsidRPr="00132127">
        <w:rPr>
          <w:rFonts w:ascii="Myriad Pro" w:hAnsi="Myriad Pro"/>
          <w:sz w:val="24"/>
          <w:szCs w:val="24"/>
          <w:lang w:val="es-ES"/>
        </w:rPr>
        <w:t xml:space="preserve">, el cual ha desarrollado un criterio general para resolver este grupo de casos. El criterio vigente del BGH se construyó fundamentalmente entre los años 1998 y 2000, a través de las sentencias </w:t>
      </w:r>
      <w:r w:rsidRPr="00132127">
        <w:rPr>
          <w:rFonts w:ascii="Myriad Pro" w:hAnsi="Myriad Pro"/>
          <w:sz w:val="24"/>
          <w:szCs w:val="24"/>
        </w:rPr>
        <w:t xml:space="preserve">5 StR 746/97 (1998) </w:t>
      </w:r>
      <w:r w:rsidRPr="00132127">
        <w:rPr>
          <w:rFonts w:ascii="Myriad Pro" w:hAnsi="Myriad Pro"/>
          <w:sz w:val="24"/>
          <w:szCs w:val="24"/>
          <w:lang w:val="es-ES"/>
        </w:rPr>
        <w:t xml:space="preserve">(“el caso del notario”); 5 StR 729/98 (1999) (“el caso del folleto comercial”); y </w:t>
      </w:r>
      <w:r w:rsidRPr="00132127">
        <w:rPr>
          <w:rFonts w:ascii="Myriad Pro" w:hAnsi="Myriad Pro"/>
          <w:sz w:val="24"/>
          <w:szCs w:val="24"/>
        </w:rPr>
        <w:t xml:space="preserve">5 StR 624/99 (2000) </w:t>
      </w:r>
      <w:r w:rsidRPr="00132127">
        <w:rPr>
          <w:rFonts w:ascii="Myriad Pro" w:hAnsi="Myriad Pro"/>
          <w:sz w:val="24"/>
          <w:szCs w:val="24"/>
          <w:lang w:val="es-ES"/>
        </w:rPr>
        <w:t>(“el caso de la evasión de impuestos”), tal co</w:t>
      </w:r>
      <w:r w:rsidR="009F33BF">
        <w:rPr>
          <w:rFonts w:ascii="Myriad Pro" w:hAnsi="Myriad Pro"/>
          <w:sz w:val="24"/>
          <w:szCs w:val="24"/>
          <w:lang w:val="es-ES"/>
        </w:rPr>
        <w:t xml:space="preserve">mo se analizará en el apartado </w:t>
      </w:r>
      <w:hyperlink w:anchor="_1.3.2._El_criterio" w:history="1">
        <w:r w:rsidRPr="009F33BF">
          <w:rPr>
            <w:rStyle w:val="Hipervnculo"/>
            <w:rFonts w:ascii="Myriad Pro" w:hAnsi="Myriad Pro"/>
            <w:color w:val="auto"/>
            <w:sz w:val="24"/>
            <w:szCs w:val="24"/>
            <w:u w:val="none"/>
            <w:lang w:val="es-ES"/>
          </w:rPr>
          <w:t>1.3.2.</w:t>
        </w:r>
      </w:hyperlink>
    </w:p>
    <w:p w14:paraId="56249E4B" w14:textId="77777777" w:rsidR="00132127" w:rsidRPr="00132127" w:rsidRDefault="00132127" w:rsidP="00132127">
      <w:pPr>
        <w:widowControl w:val="0"/>
        <w:autoSpaceDE w:val="0"/>
        <w:autoSpaceDN w:val="0"/>
        <w:adjustRightInd w:val="0"/>
        <w:spacing w:before="200"/>
        <w:jc w:val="both"/>
        <w:rPr>
          <w:rFonts w:ascii="Myriad Pro" w:hAnsi="Myriad Pro"/>
          <w:sz w:val="24"/>
          <w:szCs w:val="24"/>
          <w:lang w:val="es-ES_tradnl"/>
        </w:rPr>
      </w:pPr>
      <w:r w:rsidRPr="00132127">
        <w:rPr>
          <w:rFonts w:ascii="Myriad Pro" w:hAnsi="Myriad Pro"/>
          <w:sz w:val="24"/>
          <w:szCs w:val="24"/>
          <w:lang w:val="es-ES_tradnl"/>
        </w:rPr>
        <w:tab/>
        <w:t>La pertinencia para el caso chileno de la discusión teórica llevada adelante en Alemania, se muestra desde ya por la similitud que exhiben las reglas que extienden la punibilidad –</w:t>
      </w:r>
      <w:r w:rsidRPr="00132127">
        <w:rPr>
          <w:rFonts w:ascii="Myriad Pro" w:hAnsi="Myriad Pro"/>
          <w:sz w:val="24"/>
          <w:szCs w:val="24"/>
          <w:lang w:val="es-ES"/>
        </w:rPr>
        <w:t>el carácter extensivo de la punibilidad no alude a que sea una ampliación del carácter típico de la conducta, sino que al carácter constitutivo de dicha r</w:t>
      </w:r>
      <w:r w:rsidRPr="00132127">
        <w:rPr>
          <w:rFonts w:ascii="Myriad Pro" w:hAnsi="Myriad Pro"/>
          <w:sz w:val="24"/>
          <w:szCs w:val="24"/>
          <w:lang w:val="es-ES"/>
        </w:rPr>
        <w:t>e</w:t>
      </w:r>
      <w:r w:rsidRPr="00132127">
        <w:rPr>
          <w:rFonts w:ascii="Myriad Pro" w:hAnsi="Myriad Pro"/>
          <w:sz w:val="24"/>
          <w:szCs w:val="24"/>
          <w:lang w:val="es-ES"/>
        </w:rPr>
        <w:t>gla (en oposición a meramente declarativo) en relación con la punibilidad del part</w:t>
      </w:r>
      <w:r w:rsidRPr="00132127">
        <w:rPr>
          <w:rFonts w:ascii="Myriad Pro" w:hAnsi="Myriad Pro"/>
          <w:sz w:val="24"/>
          <w:szCs w:val="24"/>
          <w:lang w:val="es-ES"/>
        </w:rPr>
        <w:t>í</w:t>
      </w:r>
      <w:r w:rsidRPr="00132127">
        <w:rPr>
          <w:rFonts w:ascii="Myriad Pro" w:hAnsi="Myriad Pro"/>
          <w:sz w:val="24"/>
          <w:szCs w:val="24"/>
          <w:lang w:val="es-ES"/>
        </w:rPr>
        <w:t xml:space="preserve">cipe. En donde las reglas que regulan la complicidad punible no constituyen </w:t>
      </w:r>
      <w:r w:rsidRPr="00132127">
        <w:rPr>
          <w:rFonts w:ascii="Myriad Pro" w:hAnsi="Myriad Pro"/>
          <w:sz w:val="24"/>
          <w:szCs w:val="24"/>
          <w:lang w:val="es-ES"/>
        </w:rPr>
        <w:lastRenderedPageBreak/>
        <w:t>conductas típicas, sino que referidas al tipo, en los términos utilizados primigeni</w:t>
      </w:r>
      <w:r w:rsidRPr="00132127">
        <w:rPr>
          <w:rFonts w:ascii="Myriad Pro" w:hAnsi="Myriad Pro"/>
          <w:sz w:val="24"/>
          <w:szCs w:val="24"/>
          <w:lang w:val="es-ES"/>
        </w:rPr>
        <w:t>a</w:t>
      </w:r>
      <w:r w:rsidRPr="00132127">
        <w:rPr>
          <w:rFonts w:ascii="Myriad Pro" w:hAnsi="Myriad Pro"/>
          <w:sz w:val="24"/>
          <w:szCs w:val="24"/>
          <w:lang w:val="es-ES"/>
        </w:rPr>
        <w:t xml:space="preserve">mente por </w:t>
      </w:r>
      <w:r w:rsidRPr="00132127">
        <w:rPr>
          <w:rFonts w:ascii="Myriad Pro" w:hAnsi="Myriad Pro"/>
          <w:sz w:val="24"/>
          <w:szCs w:val="24"/>
        </w:rPr>
        <w:t>Beling</w:t>
      </w:r>
      <w:r w:rsidRPr="00132127">
        <w:rPr>
          <w:rFonts w:ascii="Myriad Pro" w:hAnsi="Myriad Pro"/>
          <w:sz w:val="24"/>
          <w:szCs w:val="24"/>
          <w:lang w:val="es-ES"/>
        </w:rPr>
        <w:t xml:space="preserve"> (citado en </w:t>
      </w:r>
      <w:r w:rsidRPr="00132127">
        <w:rPr>
          <w:rFonts w:ascii="Myriad Pro" w:hAnsi="Myriad Pro"/>
          <w:sz w:val="24"/>
          <w:szCs w:val="24"/>
        </w:rPr>
        <w:t>Contesse Singh,</w:t>
      </w:r>
      <w:r w:rsidRPr="00132127">
        <w:rPr>
          <w:rFonts w:ascii="Myriad Pro" w:hAnsi="Myriad Pro"/>
          <w:sz w:val="24"/>
          <w:szCs w:val="24"/>
          <w:lang w:val="es-ES"/>
        </w:rPr>
        <w:t xml:space="preserve"> 2018</w:t>
      </w:r>
      <w:r w:rsidRPr="00132127">
        <w:rPr>
          <w:rFonts w:ascii="Myriad Pro" w:hAnsi="Myriad Pro"/>
          <w:bCs/>
          <w:sz w:val="24"/>
          <w:szCs w:val="24"/>
          <w:lang w:val="es-ES"/>
        </w:rPr>
        <w:t xml:space="preserve">, </w:t>
      </w:r>
      <w:r w:rsidRPr="00132127">
        <w:rPr>
          <w:rFonts w:ascii="Myriad Pro" w:hAnsi="Myriad Pro"/>
          <w:sz w:val="24"/>
          <w:szCs w:val="24"/>
          <w:lang w:val="es-ES"/>
        </w:rPr>
        <w:t xml:space="preserve">pp. 121 y ss.). Sobre el concepto de reglas constitutivas ver </w:t>
      </w:r>
      <w:r w:rsidRPr="00132127">
        <w:rPr>
          <w:rFonts w:ascii="Myriad Pro" w:hAnsi="Myriad Pro"/>
          <w:sz w:val="24"/>
          <w:szCs w:val="24"/>
        </w:rPr>
        <w:t>Searle (1997, p. 44 y ss.)</w:t>
      </w:r>
      <w:r w:rsidRPr="00132127">
        <w:rPr>
          <w:rFonts w:ascii="Myriad Pro" w:hAnsi="Myriad Pro"/>
          <w:sz w:val="24"/>
          <w:szCs w:val="24"/>
          <w:lang w:val="es-ES"/>
        </w:rPr>
        <w:t xml:space="preserve">– </w:t>
      </w:r>
      <w:r w:rsidRPr="00132127">
        <w:rPr>
          <w:rFonts w:ascii="Myriad Pro" w:hAnsi="Myriad Pro"/>
          <w:sz w:val="24"/>
          <w:szCs w:val="24"/>
          <w:lang w:val="es-ES_tradnl"/>
        </w:rPr>
        <w:t>de los tipos de la parte especial en ambos sistemas jurídicos para el cómplice. De acuerdo al § 27.1 del StGB, traducido por López Díaz (1999) se sanciona como cómplice a “…quien haya prestado dolosamente ayuda a otro para la comisión de un hecho doloso antijurídico” (p. 10). Por su parte, nuestro Código Penal (1874) establece que “Son cómplices los que, no hallándose comprendidos en el artículo anterior [que regula a quienes se consideran como aut</w:t>
      </w:r>
      <w:r w:rsidRPr="00132127">
        <w:rPr>
          <w:rFonts w:ascii="Myriad Pro" w:hAnsi="Myriad Pro"/>
          <w:sz w:val="24"/>
          <w:szCs w:val="24"/>
          <w:lang w:val="es-ES_tradnl"/>
        </w:rPr>
        <w:t>o</w:t>
      </w:r>
      <w:r w:rsidRPr="00132127">
        <w:rPr>
          <w:rFonts w:ascii="Myriad Pro" w:hAnsi="Myriad Pro"/>
          <w:sz w:val="24"/>
          <w:szCs w:val="24"/>
          <w:lang w:val="es-ES_tradnl"/>
        </w:rPr>
        <w:t xml:space="preserve">res], </w:t>
      </w:r>
      <w:r w:rsidRPr="00132127">
        <w:rPr>
          <w:rFonts w:ascii="Myriad Pro" w:hAnsi="Myriad Pro"/>
          <w:iCs/>
          <w:sz w:val="24"/>
          <w:szCs w:val="24"/>
          <w:lang w:val="es-ES_tradnl"/>
        </w:rPr>
        <w:t>cooperan</w:t>
      </w:r>
      <w:r w:rsidRPr="00132127">
        <w:rPr>
          <w:rFonts w:ascii="Myriad Pro" w:hAnsi="Myriad Pro"/>
          <w:sz w:val="24"/>
          <w:szCs w:val="24"/>
          <w:lang w:val="es-ES_tradnl"/>
        </w:rPr>
        <w:t xml:space="preserve"> a la ejecución del hecho por actos anteriores o simultáneos” (art. 16). De acuerdo con la fórmula defendida por la doctrina dominante en Alemania, la </w:t>
      </w:r>
      <w:r w:rsidRPr="00132127">
        <w:rPr>
          <w:rFonts w:ascii="Myriad Pro" w:hAnsi="Myriad Pro"/>
          <w:i/>
          <w:sz w:val="24"/>
          <w:szCs w:val="24"/>
          <w:lang w:val="es-ES_tradnl"/>
        </w:rPr>
        <w:t>cooperación o prestación de ayuda</w:t>
      </w:r>
      <w:r w:rsidRPr="00132127">
        <w:rPr>
          <w:rFonts w:ascii="Myriad Pro" w:hAnsi="Myriad Pro"/>
          <w:sz w:val="24"/>
          <w:szCs w:val="24"/>
          <w:lang w:val="es-ES_tradnl"/>
        </w:rPr>
        <w:t xml:space="preserve"> del cómplice debe haber posibilitado, facilitado, intensificado o asegurado la realización del tipo </w:t>
      </w:r>
      <w:r w:rsidRPr="00132127">
        <w:rPr>
          <w:rFonts w:ascii="Myriad Pro" w:hAnsi="Myriad Pro"/>
          <w:sz w:val="24"/>
          <w:szCs w:val="24"/>
          <w:lang w:val="de-DE"/>
        </w:rPr>
        <w:t>(</w:t>
      </w:r>
      <w:r w:rsidRPr="00132127">
        <w:rPr>
          <w:rFonts w:ascii="Myriad Pro" w:hAnsi="Myriad Pro"/>
          <w:sz w:val="24"/>
          <w:szCs w:val="24"/>
        </w:rPr>
        <w:t>Kindhäuser,</w:t>
      </w:r>
      <w:r w:rsidRPr="00132127">
        <w:rPr>
          <w:rFonts w:ascii="Myriad Pro" w:hAnsi="Myriad Pro"/>
          <w:sz w:val="24"/>
          <w:szCs w:val="24"/>
          <w:lang w:val="de-DE"/>
        </w:rPr>
        <w:t xml:space="preserve"> 2007a, p. 355).</w:t>
      </w:r>
      <w:r w:rsidRPr="00132127">
        <w:rPr>
          <w:rFonts w:ascii="Myriad Pro" w:hAnsi="Myriad Pro"/>
          <w:sz w:val="24"/>
          <w:szCs w:val="24"/>
        </w:rPr>
        <w:t xml:space="preserve"> </w:t>
      </w:r>
      <w:r w:rsidRPr="00132127">
        <w:rPr>
          <w:rFonts w:ascii="Myriad Pro" w:hAnsi="Myriad Pro"/>
          <w:sz w:val="24"/>
          <w:szCs w:val="24"/>
          <w:lang w:val="es-ES"/>
        </w:rPr>
        <w:t>Entre nosotros, Garrido Montt (2017) prevé como requisito que el cómplice haya realizado “una actividad con anterioridad o en forma simultánea a la comisión del hecho, que objetivamente importe una colaboración del actuar del autor” (p. 419).</w:t>
      </w:r>
    </w:p>
    <w:p w14:paraId="55D992C7" w14:textId="77777777" w:rsidR="00132127" w:rsidRDefault="00132127" w:rsidP="00132127">
      <w:pPr>
        <w:widowControl w:val="0"/>
        <w:autoSpaceDE w:val="0"/>
        <w:autoSpaceDN w:val="0"/>
        <w:adjustRightInd w:val="0"/>
        <w:spacing w:before="200"/>
        <w:jc w:val="both"/>
        <w:rPr>
          <w:rFonts w:ascii="Myriad Pro" w:hAnsi="Myriad Pro"/>
          <w:sz w:val="24"/>
          <w:szCs w:val="24"/>
          <w:lang w:val="es-ES_tradnl"/>
        </w:rPr>
      </w:pPr>
      <w:r w:rsidRPr="00132127">
        <w:rPr>
          <w:rFonts w:ascii="Myriad Pro" w:hAnsi="Myriad Pro"/>
          <w:sz w:val="24"/>
          <w:szCs w:val="24"/>
          <w:lang w:val="es-ES_tradnl"/>
        </w:rPr>
        <w:tab/>
        <w:t>Es necesario tener presente que ya la misma denominación del problema es polémica (Schurmann Opazo, 2020, pp. 66 y ss.), dado que designar a acciones como “neutrales” y al mismo tiempo analizarlas como objeto de imputación penal constituye, en principio, una contradicción. Lo importante es reconocer que la denomin</w:t>
      </w:r>
      <w:r w:rsidRPr="00132127">
        <w:rPr>
          <w:rFonts w:ascii="Myriad Pro" w:hAnsi="Myriad Pro"/>
          <w:sz w:val="24"/>
          <w:szCs w:val="24"/>
          <w:lang w:val="es-ES_tradnl"/>
        </w:rPr>
        <w:t>a</w:t>
      </w:r>
      <w:r w:rsidRPr="00132127">
        <w:rPr>
          <w:rFonts w:ascii="Myriad Pro" w:hAnsi="Myriad Pro"/>
          <w:sz w:val="24"/>
          <w:szCs w:val="24"/>
          <w:lang w:val="es-ES_tradnl"/>
        </w:rPr>
        <w:t>ción de las acciones como neutrales se corresponde con una aproximación fenom</w:t>
      </w:r>
      <w:r w:rsidRPr="00132127">
        <w:rPr>
          <w:rFonts w:ascii="Myriad Pro" w:hAnsi="Myriad Pro"/>
          <w:sz w:val="24"/>
          <w:szCs w:val="24"/>
          <w:lang w:val="es-ES_tradnl"/>
        </w:rPr>
        <w:t>e</w:t>
      </w:r>
      <w:r w:rsidRPr="00132127">
        <w:rPr>
          <w:rFonts w:ascii="Myriad Pro" w:hAnsi="Myriad Pro"/>
          <w:sz w:val="24"/>
          <w:szCs w:val="24"/>
          <w:lang w:val="es-ES_tradnl"/>
        </w:rPr>
        <w:t>nológica y externa al Derecho penal que, en tanto reclama primacía como criterio para delimitar la punibilidad de un comportamiento a título de complicidad, debe ser supeditada al interés cognoscitivo propio del Derecho penal, que en este caso se encuentra gobernado por el esquema prototípico previsto para el cómplice. Sin pe</w:t>
      </w:r>
      <w:r w:rsidRPr="00132127">
        <w:rPr>
          <w:rFonts w:ascii="Myriad Pro" w:hAnsi="Myriad Pro"/>
          <w:sz w:val="24"/>
          <w:szCs w:val="24"/>
          <w:lang w:val="es-ES_tradnl"/>
        </w:rPr>
        <w:t>r</w:t>
      </w:r>
      <w:r w:rsidRPr="00132127">
        <w:rPr>
          <w:rFonts w:ascii="Myriad Pro" w:hAnsi="Myriad Pro"/>
          <w:sz w:val="24"/>
          <w:szCs w:val="24"/>
          <w:lang w:val="es-ES_tradnl"/>
        </w:rPr>
        <w:t>juicio de la errónea denominación, la identificación de este grupo de casos se corre</w:t>
      </w:r>
      <w:r w:rsidRPr="00132127">
        <w:rPr>
          <w:rFonts w:ascii="Myriad Pro" w:hAnsi="Myriad Pro"/>
          <w:sz w:val="24"/>
          <w:szCs w:val="24"/>
          <w:lang w:val="es-ES_tradnl"/>
        </w:rPr>
        <w:t>s</w:t>
      </w:r>
      <w:r w:rsidRPr="00132127">
        <w:rPr>
          <w:rFonts w:ascii="Myriad Pro" w:hAnsi="Myriad Pro"/>
          <w:sz w:val="24"/>
          <w:szCs w:val="24"/>
          <w:lang w:val="es-ES_tradnl"/>
        </w:rPr>
        <w:t>ponde con un problema dogmático real que debe ser abordado por el derecho p</w:t>
      </w:r>
      <w:r w:rsidRPr="00132127">
        <w:rPr>
          <w:rFonts w:ascii="Myriad Pro" w:hAnsi="Myriad Pro"/>
          <w:sz w:val="24"/>
          <w:szCs w:val="24"/>
          <w:lang w:val="es-ES_tradnl"/>
        </w:rPr>
        <w:t>e</w:t>
      </w:r>
      <w:r w:rsidRPr="00132127">
        <w:rPr>
          <w:rFonts w:ascii="Myriad Pro" w:hAnsi="Myriad Pro"/>
          <w:sz w:val="24"/>
          <w:szCs w:val="24"/>
          <w:lang w:val="es-ES_tradnl"/>
        </w:rPr>
        <w:t>nal, pero bajo las categorías correctas (Schurmann Opazo, 2020, pp. 279 y 280). El objetivo de este trabajo, consiste en exponer sucintamente las diferentes propuestas que han elaborado tanto la doctrina como la jurisprudencia alemana para tratar el asunto —siguiendo las categorías utilizadas por sus autores para ello—, para concluir con una revisión crítica del estado de la discusión.</w:t>
      </w:r>
    </w:p>
    <w:p w14:paraId="7E511CBE" w14:textId="77777777" w:rsidR="006A7540" w:rsidRDefault="006A7540" w:rsidP="006A7540">
      <w:pPr>
        <w:widowControl w:val="0"/>
        <w:autoSpaceDE w:val="0"/>
        <w:autoSpaceDN w:val="0"/>
        <w:adjustRightInd w:val="0"/>
        <w:spacing w:after="0" w:line="240" w:lineRule="auto"/>
        <w:jc w:val="both"/>
        <w:rPr>
          <w:rFonts w:ascii="Myriad Pro" w:hAnsi="Myriad Pro"/>
          <w:sz w:val="24"/>
          <w:szCs w:val="24"/>
          <w:lang w:val="es-ES_tradnl"/>
        </w:rPr>
      </w:pPr>
    </w:p>
    <w:p w14:paraId="08C88DED" w14:textId="77777777" w:rsidR="006A7540" w:rsidRPr="00132127" w:rsidRDefault="006A7540" w:rsidP="006A7540">
      <w:pPr>
        <w:widowControl w:val="0"/>
        <w:autoSpaceDE w:val="0"/>
        <w:autoSpaceDN w:val="0"/>
        <w:adjustRightInd w:val="0"/>
        <w:spacing w:after="0" w:line="240" w:lineRule="auto"/>
        <w:jc w:val="both"/>
        <w:rPr>
          <w:rFonts w:ascii="Myriad Pro" w:hAnsi="Myriad Pro"/>
          <w:sz w:val="24"/>
          <w:szCs w:val="24"/>
          <w:lang w:val="es-ES_tradnl"/>
        </w:rPr>
      </w:pPr>
    </w:p>
    <w:p w14:paraId="413D6A49" w14:textId="5AF23A12" w:rsidR="00632566" w:rsidRPr="006A7540" w:rsidRDefault="00632566" w:rsidP="006A7540">
      <w:pPr>
        <w:spacing w:after="0" w:line="240" w:lineRule="auto"/>
        <w:jc w:val="center"/>
        <w:rPr>
          <w:rFonts w:ascii="Myriad Pro" w:hAnsi="Myriad Pro"/>
          <w:b/>
          <w:sz w:val="32"/>
          <w:szCs w:val="32"/>
        </w:rPr>
      </w:pPr>
      <w:r w:rsidRPr="006A7540">
        <w:rPr>
          <w:rFonts w:ascii="Myriad Pro" w:hAnsi="Myriad Pro"/>
          <w:b/>
          <w:sz w:val="32"/>
          <w:szCs w:val="32"/>
        </w:rPr>
        <w:t xml:space="preserve">1. </w:t>
      </w:r>
      <w:r w:rsidR="00F36212" w:rsidRPr="006A7540">
        <w:rPr>
          <w:rFonts w:ascii="Myriad Pro" w:hAnsi="Myriad Pro"/>
          <w:b/>
          <w:sz w:val="32"/>
          <w:szCs w:val="32"/>
        </w:rPr>
        <w:t>El estado de la discusión. Propuestas teóricas de la doctrina y jurisprudencia para delimitar la punibilidad de la complicidad a través de acciones neutrales</w:t>
      </w:r>
    </w:p>
    <w:p w14:paraId="10F97BF7" w14:textId="77777777" w:rsidR="006A7540" w:rsidRDefault="006A7540" w:rsidP="006A7540">
      <w:pPr>
        <w:pStyle w:val="Textonotapie"/>
        <w:spacing w:after="200" w:line="276" w:lineRule="auto"/>
        <w:contextualSpacing/>
        <w:jc w:val="both"/>
        <w:rPr>
          <w:rFonts w:ascii="Myriad Pro" w:hAnsi="Myriad Pro"/>
          <w:sz w:val="24"/>
          <w:szCs w:val="24"/>
          <w:lang w:val="es-ES"/>
        </w:rPr>
      </w:pPr>
    </w:p>
    <w:p w14:paraId="4E15756B" w14:textId="77777777" w:rsidR="006A7540" w:rsidRDefault="006A7540" w:rsidP="00F36212">
      <w:pPr>
        <w:pStyle w:val="Textonotapie"/>
        <w:spacing w:before="200" w:after="200" w:line="276" w:lineRule="auto"/>
        <w:contextualSpacing/>
        <w:jc w:val="both"/>
        <w:rPr>
          <w:rFonts w:ascii="Myriad Pro" w:hAnsi="Myriad Pro"/>
          <w:sz w:val="24"/>
          <w:szCs w:val="24"/>
          <w:lang w:val="es-ES"/>
        </w:rPr>
      </w:pPr>
    </w:p>
    <w:p w14:paraId="0EF8C298" w14:textId="7558920B" w:rsidR="00F36212" w:rsidRPr="00F36212" w:rsidRDefault="00F36212" w:rsidP="00F36212">
      <w:pPr>
        <w:pStyle w:val="Textonotapie"/>
        <w:spacing w:before="200" w:after="200" w:line="276" w:lineRule="auto"/>
        <w:contextualSpacing/>
        <w:jc w:val="both"/>
        <w:rPr>
          <w:rFonts w:ascii="Myriad Pro" w:hAnsi="Myriad Pro"/>
          <w:sz w:val="24"/>
          <w:szCs w:val="24"/>
          <w:lang w:val="es-ES"/>
        </w:rPr>
      </w:pPr>
      <w:r>
        <w:rPr>
          <w:rFonts w:ascii="Myriad Pro" w:hAnsi="Myriad Pro"/>
          <w:sz w:val="24"/>
          <w:szCs w:val="24"/>
          <w:lang w:val="es-ES"/>
        </w:rPr>
        <w:lastRenderedPageBreak/>
        <w:tab/>
      </w:r>
      <w:r w:rsidRPr="00F36212">
        <w:rPr>
          <w:rFonts w:ascii="Myriad Pro" w:hAnsi="Myriad Pro"/>
          <w:sz w:val="24"/>
          <w:szCs w:val="24"/>
          <w:lang w:val="es-ES"/>
        </w:rPr>
        <w:t>Pese a que la Ley no reconoce a las denominadas acciones neutrales o cot</w:t>
      </w:r>
      <w:r w:rsidRPr="00F36212">
        <w:rPr>
          <w:rFonts w:ascii="Myriad Pro" w:hAnsi="Myriad Pro"/>
          <w:sz w:val="24"/>
          <w:szCs w:val="24"/>
          <w:lang w:val="es-ES"/>
        </w:rPr>
        <w:t>i</w:t>
      </w:r>
      <w:r w:rsidRPr="00F36212">
        <w:rPr>
          <w:rFonts w:ascii="Myriad Pro" w:hAnsi="Myriad Pro"/>
          <w:sz w:val="24"/>
          <w:szCs w:val="24"/>
          <w:lang w:val="es-ES"/>
        </w:rPr>
        <w:t>dianas como una categoría, son numerosos los intentos de reconstrucción de crit</w:t>
      </w:r>
      <w:r w:rsidRPr="00F36212">
        <w:rPr>
          <w:rFonts w:ascii="Myriad Pro" w:hAnsi="Myriad Pro"/>
          <w:sz w:val="24"/>
          <w:szCs w:val="24"/>
          <w:lang w:val="es-ES"/>
        </w:rPr>
        <w:t>e</w:t>
      </w:r>
      <w:r w:rsidRPr="00F36212">
        <w:rPr>
          <w:rFonts w:ascii="Myriad Pro" w:hAnsi="Myriad Pro"/>
          <w:sz w:val="24"/>
          <w:szCs w:val="24"/>
          <w:lang w:val="es-ES"/>
        </w:rPr>
        <w:t>rios limitadores de formas de participación por medio de ellas. Las abundantes co</w:t>
      </w:r>
      <w:r w:rsidRPr="00F36212">
        <w:rPr>
          <w:rFonts w:ascii="Myriad Pro" w:hAnsi="Myriad Pro"/>
          <w:sz w:val="24"/>
          <w:szCs w:val="24"/>
          <w:lang w:val="es-ES"/>
        </w:rPr>
        <w:t>n</w:t>
      </w:r>
      <w:r w:rsidRPr="00F36212">
        <w:rPr>
          <w:rFonts w:ascii="Myriad Pro" w:hAnsi="Myriad Pro"/>
          <w:sz w:val="24"/>
          <w:szCs w:val="24"/>
          <w:lang w:val="es-ES"/>
        </w:rPr>
        <w:t xml:space="preserve">tribuciones sobre acciones “neutrales” en la dogmática penal alemana, muestran que existen diferentes posibilidades para presentar el estado actual de dicha discusión (una exposición actualizada y resumida del estado de la discusión aparece en </w:t>
      </w:r>
      <w:r w:rsidRPr="00F36212">
        <w:rPr>
          <w:rFonts w:ascii="Myriad Pro" w:hAnsi="Myriad Pro"/>
          <w:sz w:val="24"/>
          <w:szCs w:val="24"/>
        </w:rPr>
        <w:t xml:space="preserve">Joecks, </w:t>
      </w:r>
      <w:r w:rsidRPr="00F36212">
        <w:rPr>
          <w:rFonts w:ascii="Myriad Pro" w:hAnsi="Myriad Pro"/>
          <w:sz w:val="24"/>
          <w:szCs w:val="24"/>
          <w:lang w:val="es-ES"/>
        </w:rPr>
        <w:t xml:space="preserve">2017, </w:t>
      </w:r>
      <w:r w:rsidRPr="00F36212">
        <w:rPr>
          <w:rFonts w:ascii="Myriad Pro" w:hAnsi="Myriad Pro"/>
          <w:sz w:val="24"/>
          <w:szCs w:val="24"/>
        </w:rPr>
        <w:t xml:space="preserve">Nm. 66 y ss.; Kudlich, </w:t>
      </w:r>
      <w:r w:rsidRPr="00F36212">
        <w:rPr>
          <w:rFonts w:ascii="Myriad Pro" w:hAnsi="Myriad Pro" w:cs="Calibri (Cuerpo en alfabeto com"/>
          <w:smallCaps/>
          <w:sz w:val="24"/>
          <w:szCs w:val="24"/>
        </w:rPr>
        <w:t xml:space="preserve">2004, </w:t>
      </w:r>
      <w:r w:rsidRPr="00F36212">
        <w:rPr>
          <w:rFonts w:ascii="Myriad Pro" w:hAnsi="Myriad Pro"/>
          <w:sz w:val="24"/>
          <w:szCs w:val="24"/>
        </w:rPr>
        <w:t>p.</w:t>
      </w:r>
      <w:r w:rsidRPr="00F36212">
        <w:rPr>
          <w:rFonts w:ascii="Myriad Pro" w:hAnsi="Myriad Pro" w:cs="Calibri (Cuerpo en alfabeto com"/>
          <w:smallCaps/>
          <w:sz w:val="24"/>
          <w:szCs w:val="24"/>
        </w:rPr>
        <w:t xml:space="preserve"> </w:t>
      </w:r>
      <w:r w:rsidRPr="00F36212">
        <w:rPr>
          <w:rFonts w:ascii="Myriad Pro" w:hAnsi="Myriad Pro"/>
          <w:sz w:val="24"/>
          <w:szCs w:val="24"/>
        </w:rPr>
        <w:t>74 y ss.; Kudlich, 2008, p. 226 y ss.; y Seher, 2009, 793 y ss.; y, Rackow, 2007, p.</w:t>
      </w:r>
      <w:r w:rsidRPr="00F36212">
        <w:rPr>
          <w:rFonts w:ascii="Myriad Pro" w:hAnsi="Myriad Pro"/>
          <w:sz w:val="24"/>
          <w:szCs w:val="24"/>
          <w:lang w:val="es-ES"/>
        </w:rPr>
        <w:t xml:space="preserve"> 51 y ss.). Una posibilidad es presentar una selección de autores (</w:t>
      </w:r>
      <w:r w:rsidRPr="00F36212">
        <w:rPr>
          <w:rFonts w:ascii="Myriad Pro" w:hAnsi="Myriad Pro" w:cs="Times New Roman"/>
          <w:sz w:val="24"/>
          <w:szCs w:val="24"/>
        </w:rPr>
        <w:t xml:space="preserve">dicha alternativa elige </w:t>
      </w:r>
      <w:r w:rsidRPr="00F36212">
        <w:rPr>
          <w:rFonts w:ascii="Myriad Pro" w:hAnsi="Myriad Pro"/>
          <w:sz w:val="24"/>
          <w:szCs w:val="24"/>
        </w:rPr>
        <w:t xml:space="preserve">Niedermaier, </w:t>
      </w:r>
      <w:r w:rsidRPr="00F36212">
        <w:rPr>
          <w:rFonts w:ascii="Myriad Pro" w:hAnsi="Myriad Pro" w:cs="Times New Roman"/>
          <w:sz w:val="24"/>
          <w:szCs w:val="24"/>
        </w:rPr>
        <w:t xml:space="preserve">1995, p. </w:t>
      </w:r>
      <w:r w:rsidRPr="00F36212">
        <w:rPr>
          <w:rFonts w:ascii="Myriad Pro" w:hAnsi="Myriad Pro" w:cs="Times New Roman"/>
          <w:sz w:val="24"/>
          <w:szCs w:val="24"/>
          <w:lang w:val="es-ES"/>
        </w:rPr>
        <w:t>508 y ss.)</w:t>
      </w:r>
      <w:r w:rsidRPr="00F36212">
        <w:rPr>
          <w:rFonts w:ascii="Myriad Pro" w:hAnsi="Myriad Pro"/>
          <w:sz w:val="24"/>
          <w:szCs w:val="24"/>
          <w:lang w:val="es-ES"/>
        </w:rPr>
        <w:t xml:space="preserve">. Otra alternativa es presentar una muestra de los criterios restrictivos, refiriéndose a los autores que </w:t>
      </w:r>
      <w:r w:rsidRPr="00F36212">
        <w:rPr>
          <w:rFonts w:ascii="Myriad Pro" w:hAnsi="Myriad Pro"/>
          <w:sz w:val="24"/>
          <w:szCs w:val="24"/>
          <w:lang w:val="es-ES_tradnl"/>
        </w:rPr>
        <w:t>—</w:t>
      </w:r>
      <w:r w:rsidRPr="00F36212">
        <w:rPr>
          <w:rFonts w:ascii="Myriad Pro" w:hAnsi="Myriad Pro"/>
          <w:sz w:val="24"/>
          <w:szCs w:val="24"/>
          <w:lang w:val="es-ES"/>
        </w:rPr>
        <w:t>con matices</w:t>
      </w:r>
      <w:r w:rsidRPr="00F36212">
        <w:rPr>
          <w:rFonts w:ascii="Myriad Pro" w:hAnsi="Myriad Pro"/>
          <w:sz w:val="24"/>
          <w:szCs w:val="24"/>
          <w:lang w:val="es-ES_tradnl"/>
        </w:rPr>
        <w:t>—</w:t>
      </w:r>
      <w:r w:rsidRPr="00F36212">
        <w:rPr>
          <w:rFonts w:ascii="Myriad Pro" w:hAnsi="Myriad Pro"/>
          <w:sz w:val="24"/>
          <w:szCs w:val="24"/>
          <w:lang w:val="es-ES"/>
        </w:rPr>
        <w:t xml:space="preserve"> adscriben sus teorías a dichos criterios (</w:t>
      </w:r>
      <w:r w:rsidRPr="00F36212">
        <w:rPr>
          <w:rFonts w:ascii="Myriad Pro" w:hAnsi="Myriad Pro" w:cs="Times New Roman"/>
          <w:sz w:val="24"/>
          <w:szCs w:val="24"/>
          <w:lang w:val="es-ES"/>
        </w:rPr>
        <w:t xml:space="preserve">esta alternativa es elegida por </w:t>
      </w:r>
      <w:r w:rsidRPr="00F36212">
        <w:rPr>
          <w:rFonts w:ascii="Myriad Pro" w:hAnsi="Myriad Pro"/>
          <w:sz w:val="24"/>
          <w:szCs w:val="24"/>
        </w:rPr>
        <w:t>Amelung</w:t>
      </w:r>
      <w:r w:rsidRPr="00F36212">
        <w:rPr>
          <w:rFonts w:ascii="Myriad Pro" w:hAnsi="Myriad Pro" w:cs="Times New Roman"/>
          <w:smallCaps/>
          <w:sz w:val="24"/>
          <w:szCs w:val="24"/>
          <w:lang w:val="es-ES"/>
        </w:rPr>
        <w:t xml:space="preserve">, 1999, </w:t>
      </w:r>
      <w:r w:rsidRPr="00F36212">
        <w:rPr>
          <w:rFonts w:ascii="Myriad Pro" w:hAnsi="Myriad Pro"/>
          <w:sz w:val="24"/>
          <w:szCs w:val="24"/>
        </w:rPr>
        <w:t>p. 10 y ss.;</w:t>
      </w:r>
      <w:r w:rsidRPr="00F36212">
        <w:rPr>
          <w:rFonts w:ascii="Myriad Pro" w:hAnsi="Myriad Pro" w:cs="Times New Roman"/>
          <w:smallCaps/>
          <w:sz w:val="24"/>
          <w:szCs w:val="24"/>
          <w:lang w:val="es-ES"/>
        </w:rPr>
        <w:t xml:space="preserve"> </w:t>
      </w:r>
      <w:r w:rsidRPr="00F36212">
        <w:rPr>
          <w:rFonts w:ascii="Myriad Pro" w:hAnsi="Myriad Pro" w:cs="Times New Roman"/>
          <w:sz w:val="24"/>
          <w:szCs w:val="24"/>
          <w:lang w:val="es-ES"/>
        </w:rPr>
        <w:t xml:space="preserve">y, </w:t>
      </w:r>
      <w:r w:rsidRPr="00F36212">
        <w:rPr>
          <w:rFonts w:ascii="Myriad Pro" w:hAnsi="Myriad Pro"/>
          <w:sz w:val="24"/>
          <w:szCs w:val="24"/>
        </w:rPr>
        <w:t>Otto, 2001, p. 436)</w:t>
      </w:r>
      <w:r w:rsidRPr="00F36212">
        <w:rPr>
          <w:rFonts w:ascii="Myriad Pro" w:hAnsi="Myriad Pro" w:cs="Times New Roman"/>
          <w:sz w:val="24"/>
          <w:szCs w:val="24"/>
        </w:rPr>
        <w:t xml:space="preserve">. </w:t>
      </w:r>
      <w:r w:rsidRPr="00F36212">
        <w:rPr>
          <w:rFonts w:ascii="Myriad Pro" w:hAnsi="Myriad Pro"/>
          <w:sz w:val="24"/>
          <w:szCs w:val="24"/>
          <w:lang w:val="es-ES"/>
        </w:rPr>
        <w:t>Finalmente, se pueden distinguir las contribuciones en atención a la específica solución que le otorgan a los conocidos y comunes casos reales y teóricos a los que hacen referencia –</w:t>
      </w:r>
      <w:r w:rsidRPr="00F36212">
        <w:rPr>
          <w:rFonts w:ascii="Myriad Pro" w:hAnsi="Myriad Pro" w:cs="Times New Roman"/>
          <w:sz w:val="24"/>
          <w:szCs w:val="24"/>
          <w:lang w:val="es-ES"/>
        </w:rPr>
        <w:t>casi todos toman pos</w:t>
      </w:r>
      <w:r w:rsidRPr="00F36212">
        <w:rPr>
          <w:rFonts w:ascii="Myriad Pro" w:hAnsi="Myriad Pro" w:cs="Times New Roman"/>
          <w:sz w:val="24"/>
          <w:szCs w:val="24"/>
          <w:lang w:val="es-ES"/>
        </w:rPr>
        <w:t>i</w:t>
      </w:r>
      <w:r w:rsidRPr="00F36212">
        <w:rPr>
          <w:rFonts w:ascii="Myriad Pro" w:hAnsi="Myriad Pro" w:cs="Times New Roman"/>
          <w:sz w:val="24"/>
          <w:szCs w:val="24"/>
          <w:lang w:val="es-ES"/>
        </w:rPr>
        <w:t>ción en relación al denominado “caso de evasión de impuestos” (</w:t>
      </w:r>
      <w:r w:rsidRPr="00F36212">
        <w:rPr>
          <w:rFonts w:ascii="Myriad Pro" w:hAnsi="Myriad Pro"/>
          <w:sz w:val="24"/>
          <w:szCs w:val="24"/>
        </w:rPr>
        <w:t>5 StR 624/99, 2000)</w:t>
      </w:r>
      <w:r>
        <w:rPr>
          <w:rStyle w:val="Refdenotaalpie"/>
          <w:rFonts w:ascii="Myriad Pro" w:hAnsi="Myriad Pro"/>
          <w:sz w:val="24"/>
          <w:szCs w:val="24"/>
        </w:rPr>
        <w:footnoteReference w:id="7"/>
      </w:r>
      <w:r w:rsidRPr="00F36212">
        <w:rPr>
          <w:rFonts w:ascii="Myriad Pro" w:hAnsi="Myriad Pro" w:cs="Times New Roman"/>
          <w:sz w:val="24"/>
          <w:szCs w:val="24"/>
          <w:lang w:val="es-ES"/>
        </w:rPr>
        <w:t xml:space="preserve">. </w:t>
      </w:r>
      <w:r w:rsidRPr="00F36212">
        <w:rPr>
          <w:rFonts w:ascii="Myriad Pro" w:hAnsi="Myriad Pro"/>
          <w:sz w:val="24"/>
          <w:szCs w:val="24"/>
        </w:rPr>
        <w:t>Wohlleben</w:t>
      </w:r>
      <w:r w:rsidRPr="00F36212">
        <w:rPr>
          <w:rFonts w:ascii="Myriad Pro" w:hAnsi="Myriad Pro" w:cs="Times New Roman"/>
          <w:sz w:val="24"/>
          <w:szCs w:val="24"/>
          <w:lang w:val="es-ES"/>
        </w:rPr>
        <w:t xml:space="preserve"> (1996, p. 32 y ss.) presenta no solo propuestas, sino que también toma posición “</w:t>
      </w:r>
      <w:r w:rsidRPr="00F36212">
        <w:rPr>
          <w:rFonts w:ascii="Myriad Pro" w:hAnsi="Myriad Pro" w:cs="Times New Roman"/>
          <w:i/>
          <w:iCs/>
          <w:sz w:val="24"/>
          <w:szCs w:val="24"/>
          <w:lang w:val="es-ES"/>
        </w:rPr>
        <w:t>in concreto</w:t>
      </w:r>
      <w:r w:rsidRPr="00F36212">
        <w:rPr>
          <w:rFonts w:ascii="Myriad Pro" w:hAnsi="Myriad Pro" w:cs="Times New Roman"/>
          <w:sz w:val="24"/>
          <w:szCs w:val="24"/>
          <w:lang w:val="es-ES"/>
        </w:rPr>
        <w:t>” para cada caso–</w:t>
      </w:r>
      <w:r w:rsidRPr="00F36212">
        <w:rPr>
          <w:rFonts w:ascii="Myriad Pro" w:hAnsi="Myriad Pro"/>
          <w:sz w:val="24"/>
          <w:szCs w:val="24"/>
          <w:lang w:val="es-ES"/>
        </w:rPr>
        <w:t>. En lo que se sigue se ha elegido la segunda alternativa, dado que ella contribuye en una mayor medida a la claridad analítica de la exposición</w:t>
      </w:r>
      <w:r w:rsidRPr="00F36212">
        <w:rPr>
          <w:rStyle w:val="Refdenotaalpie"/>
          <w:rFonts w:ascii="Myriad Pro" w:hAnsi="Myriad Pro"/>
          <w:sz w:val="24"/>
          <w:szCs w:val="24"/>
          <w:lang w:val="es-ES"/>
        </w:rPr>
        <w:footnoteReference w:id="8"/>
      </w:r>
      <w:r w:rsidRPr="00F36212">
        <w:rPr>
          <w:rFonts w:ascii="Myriad Pro" w:hAnsi="Myriad Pro"/>
          <w:sz w:val="24"/>
          <w:szCs w:val="24"/>
          <w:lang w:val="es-ES"/>
        </w:rPr>
        <w:t>.</w:t>
      </w:r>
      <w:r>
        <w:rPr>
          <w:rFonts w:ascii="Myriad Pro" w:hAnsi="Myriad Pro"/>
          <w:sz w:val="24"/>
          <w:szCs w:val="24"/>
          <w:lang w:val="es-ES"/>
        </w:rPr>
        <w:t xml:space="preserve"> </w:t>
      </w:r>
    </w:p>
    <w:p w14:paraId="4B92D910" w14:textId="77777777" w:rsidR="006A7540" w:rsidRPr="006A7540" w:rsidRDefault="006A7540" w:rsidP="006A7540">
      <w:pPr>
        <w:spacing w:after="0" w:line="240" w:lineRule="auto"/>
        <w:jc w:val="center"/>
        <w:rPr>
          <w:rFonts w:ascii="Myriad Pro" w:hAnsi="Myriad Pro"/>
          <w:b/>
          <w:sz w:val="28"/>
          <w:szCs w:val="28"/>
        </w:rPr>
      </w:pPr>
    </w:p>
    <w:p w14:paraId="6CFD7CC0" w14:textId="5D9D65F3" w:rsidR="00FD7B8A" w:rsidRPr="006A7540" w:rsidRDefault="00FD7B8A" w:rsidP="006A7540">
      <w:pPr>
        <w:spacing w:after="0" w:line="240" w:lineRule="auto"/>
        <w:jc w:val="center"/>
        <w:rPr>
          <w:rFonts w:ascii="Myriad Pro" w:hAnsi="Myriad Pro"/>
          <w:b/>
          <w:sz w:val="28"/>
          <w:szCs w:val="28"/>
        </w:rPr>
      </w:pPr>
      <w:r w:rsidRPr="006A7540">
        <w:rPr>
          <w:rFonts w:ascii="Myriad Pro" w:hAnsi="Myriad Pro"/>
          <w:b/>
          <w:sz w:val="28"/>
          <w:szCs w:val="28"/>
        </w:rPr>
        <w:t xml:space="preserve">1.1. </w:t>
      </w:r>
      <w:r w:rsidR="00F36212" w:rsidRPr="006A7540">
        <w:rPr>
          <w:rFonts w:ascii="Myriad Pro" w:hAnsi="Myriad Pro"/>
          <w:b/>
          <w:sz w:val="28"/>
          <w:szCs w:val="28"/>
        </w:rPr>
        <w:t>Soluciones en el nivel de la tipicidad objetiva</w:t>
      </w:r>
    </w:p>
    <w:p w14:paraId="5B9E19D2" w14:textId="77777777" w:rsidR="006A7540" w:rsidRPr="006A7540" w:rsidRDefault="006A7540" w:rsidP="006A7540">
      <w:pPr>
        <w:spacing w:after="0" w:line="240" w:lineRule="auto"/>
        <w:jc w:val="center"/>
        <w:rPr>
          <w:rFonts w:ascii="Myriad Pro" w:hAnsi="Myriad Pro"/>
          <w:b/>
          <w:sz w:val="28"/>
          <w:szCs w:val="28"/>
        </w:rPr>
      </w:pPr>
    </w:p>
    <w:p w14:paraId="0E998110" w14:textId="12A3AB14" w:rsidR="00F36212" w:rsidRDefault="00F36212" w:rsidP="00F36212">
      <w:pPr>
        <w:jc w:val="both"/>
        <w:rPr>
          <w:rFonts w:ascii="Myriad Pro" w:hAnsi="Myriad Pro"/>
          <w:sz w:val="24"/>
          <w:szCs w:val="24"/>
        </w:rPr>
      </w:pPr>
      <w:r>
        <w:rPr>
          <w:rFonts w:ascii="Myriad Pro" w:hAnsi="Myriad Pro"/>
          <w:sz w:val="24"/>
          <w:szCs w:val="24"/>
        </w:rPr>
        <w:tab/>
      </w:r>
      <w:r w:rsidRPr="00F36212">
        <w:rPr>
          <w:rFonts w:ascii="Myriad Pro" w:hAnsi="Myriad Pro"/>
          <w:sz w:val="24"/>
          <w:szCs w:val="24"/>
        </w:rPr>
        <w:t>En este apartado, son expuestas críticamente las posturas que presentan una acentuada relevancia de los criterios objetivos de restricción de la punibilidad, sin perjuicio de las representaciones subjetivas del autor.</w:t>
      </w:r>
    </w:p>
    <w:p w14:paraId="740103CC" w14:textId="77777777" w:rsidR="006A7540" w:rsidRPr="006A7540" w:rsidRDefault="006A7540" w:rsidP="006A7540">
      <w:pPr>
        <w:spacing w:after="0" w:line="240" w:lineRule="auto"/>
        <w:jc w:val="center"/>
        <w:rPr>
          <w:rFonts w:ascii="Myriad Pro" w:hAnsi="Myriad Pro"/>
          <w:b/>
          <w:sz w:val="24"/>
          <w:szCs w:val="24"/>
        </w:rPr>
      </w:pPr>
    </w:p>
    <w:p w14:paraId="2BE6E693" w14:textId="55CAD135" w:rsidR="00F36212" w:rsidRPr="006A7540" w:rsidRDefault="00F36212" w:rsidP="006A7540">
      <w:pPr>
        <w:spacing w:after="0" w:line="240" w:lineRule="auto"/>
        <w:jc w:val="center"/>
        <w:rPr>
          <w:rFonts w:ascii="Myriad Pro" w:hAnsi="Myriad Pro"/>
          <w:b/>
          <w:sz w:val="24"/>
          <w:szCs w:val="24"/>
        </w:rPr>
      </w:pPr>
      <w:r w:rsidRPr="006A7540">
        <w:rPr>
          <w:rFonts w:ascii="Myriad Pro" w:hAnsi="Myriad Pro"/>
          <w:b/>
          <w:sz w:val="24"/>
          <w:szCs w:val="24"/>
        </w:rPr>
        <w:t>1.1.1. La atipicidad de los comportamientos socialmente adecuados</w:t>
      </w:r>
    </w:p>
    <w:p w14:paraId="65FB9980" w14:textId="77777777" w:rsidR="006A7540" w:rsidRPr="006A7540" w:rsidRDefault="006A7540" w:rsidP="006A7540">
      <w:pPr>
        <w:spacing w:after="0" w:line="240" w:lineRule="auto"/>
        <w:jc w:val="center"/>
        <w:rPr>
          <w:rFonts w:ascii="Myriad Pro" w:hAnsi="Myriad Pro"/>
          <w:b/>
          <w:sz w:val="24"/>
          <w:szCs w:val="24"/>
        </w:rPr>
      </w:pPr>
    </w:p>
    <w:p w14:paraId="66A7E3A9" w14:textId="7D1030C1" w:rsidR="00C124A4" w:rsidRPr="00C124A4" w:rsidRDefault="00C124A4" w:rsidP="00C124A4">
      <w:pPr>
        <w:spacing w:before="200"/>
        <w:jc w:val="both"/>
        <w:rPr>
          <w:rFonts w:ascii="Garamond" w:hAnsi="Garamond"/>
          <w:sz w:val="24"/>
          <w:szCs w:val="24"/>
          <w:lang w:val="es-ES"/>
        </w:rPr>
      </w:pPr>
      <w:r>
        <w:rPr>
          <w:rFonts w:ascii="Myriad Pro" w:hAnsi="Myriad Pro"/>
          <w:sz w:val="24"/>
          <w:szCs w:val="24"/>
          <w:lang w:val="es-ES"/>
        </w:rPr>
        <w:tab/>
      </w:r>
      <w:r w:rsidRPr="00C124A4">
        <w:rPr>
          <w:rFonts w:ascii="Myriad Pro" w:hAnsi="Myriad Pro"/>
          <w:sz w:val="24"/>
          <w:szCs w:val="24"/>
          <w:lang w:val="es-ES"/>
        </w:rPr>
        <w:t xml:space="preserve">De acuerdo con la teoría general de la adecuación social, que tienes sus orígenes en Welzel (citado por Otto, 2001, p. 436), comportamientos adecuados socialmente son aquellos que se mantienen completamente dentro del marco de lo que históricamente se ha entendido como orden social de vida. Es por ello que no puede calificarse a una acción de dichas características como típica, pese a que podría tener como consecuencia la lesión de un bien jurídico. El punto de vista decisivo para dicha calificación, es cuan habitual y adecuado es un comportamiento a lo socialmente aceptado. Si dichos criterios son satisfechos, la conducta debe ser calificada como adecuada socialmente y, por ello, permitida. Acciones socialmente </w:t>
      </w:r>
      <w:r w:rsidRPr="00C124A4">
        <w:rPr>
          <w:rFonts w:ascii="Myriad Pro" w:hAnsi="Myriad Pro"/>
          <w:sz w:val="24"/>
          <w:szCs w:val="24"/>
          <w:lang w:val="es-ES"/>
        </w:rPr>
        <w:lastRenderedPageBreak/>
        <w:t>adecuadas son, por ejemplo, actividades como el transporte en tren, pese al riesgo de lesión que d</w:t>
      </w:r>
      <w:r w:rsidRPr="00C124A4">
        <w:rPr>
          <w:rFonts w:ascii="Myriad Pro" w:hAnsi="Myriad Pro"/>
          <w:sz w:val="24"/>
          <w:szCs w:val="24"/>
          <w:lang w:val="es-ES"/>
        </w:rPr>
        <w:t>i</w:t>
      </w:r>
      <w:r w:rsidRPr="00C124A4">
        <w:rPr>
          <w:rFonts w:ascii="Myriad Pro" w:hAnsi="Myriad Pro"/>
          <w:sz w:val="24"/>
          <w:szCs w:val="24"/>
          <w:lang w:val="es-ES"/>
        </w:rPr>
        <w:t>cha actividad reporta para diversos bienes jurídicos (</w:t>
      </w:r>
      <w:r w:rsidRPr="00C124A4">
        <w:rPr>
          <w:rFonts w:ascii="Myriad Pro" w:hAnsi="Myriad Pro"/>
          <w:sz w:val="24"/>
          <w:szCs w:val="24"/>
        </w:rPr>
        <w:t>Welzel</w:t>
      </w:r>
      <w:r w:rsidRPr="00C124A4">
        <w:rPr>
          <w:rFonts w:ascii="Myriad Pro" w:hAnsi="Myriad Pro" w:cs="Calibri (Cuerpo en alfabeto com"/>
          <w:bCs/>
          <w:smallCaps/>
          <w:sz w:val="24"/>
          <w:szCs w:val="24"/>
        </w:rPr>
        <w:t xml:space="preserve">, </w:t>
      </w:r>
      <w:r w:rsidRPr="00C124A4">
        <w:rPr>
          <w:rFonts w:ascii="Myriad Pro" w:hAnsi="Myriad Pro"/>
          <w:bCs/>
          <w:sz w:val="24"/>
          <w:szCs w:val="24"/>
        </w:rPr>
        <w:t>1975, p. 141)</w:t>
      </w:r>
      <w:r w:rsidRPr="00C124A4">
        <w:rPr>
          <w:rFonts w:ascii="Myriad Pro" w:hAnsi="Myriad Pro"/>
          <w:sz w:val="24"/>
          <w:szCs w:val="24"/>
          <w:lang w:val="es-ES"/>
        </w:rPr>
        <w:t>. Así, y pese a la aparente tipicidad de una conducta, ella puede tener otra valoración, como co</w:t>
      </w:r>
      <w:r w:rsidRPr="00C124A4">
        <w:rPr>
          <w:rFonts w:ascii="Myriad Pro" w:hAnsi="Myriad Pro"/>
          <w:sz w:val="24"/>
          <w:szCs w:val="24"/>
          <w:lang w:val="es-ES"/>
        </w:rPr>
        <w:t>n</w:t>
      </w:r>
      <w:r w:rsidRPr="00C124A4">
        <w:rPr>
          <w:rFonts w:ascii="Myriad Pro" w:hAnsi="Myriad Pro"/>
          <w:sz w:val="24"/>
          <w:szCs w:val="24"/>
          <w:lang w:val="es-ES"/>
        </w:rPr>
        <w:t>forme a Derecho, dado que no presenta un injusto material. Esta teoría, ha sido directa o indirectamente empleada por distintos autores modernos para excluir la punib</w:t>
      </w:r>
      <w:r w:rsidRPr="00C124A4">
        <w:rPr>
          <w:rFonts w:ascii="Myriad Pro" w:hAnsi="Myriad Pro"/>
          <w:sz w:val="24"/>
          <w:szCs w:val="24"/>
          <w:lang w:val="es-ES"/>
        </w:rPr>
        <w:t>i</w:t>
      </w:r>
      <w:r w:rsidRPr="00C124A4">
        <w:rPr>
          <w:rFonts w:ascii="Myriad Pro" w:hAnsi="Myriad Pro"/>
          <w:sz w:val="24"/>
          <w:szCs w:val="24"/>
          <w:lang w:val="es-ES"/>
        </w:rPr>
        <w:t xml:space="preserve">lidad de las acciones neutrales.  </w:t>
      </w:r>
    </w:p>
    <w:p w14:paraId="51D5ADAC" w14:textId="77777777" w:rsidR="00C124A4" w:rsidRPr="00C124A4" w:rsidRDefault="00C124A4" w:rsidP="00C124A4">
      <w:pPr>
        <w:spacing w:before="200"/>
        <w:jc w:val="both"/>
        <w:rPr>
          <w:rFonts w:ascii="Garamond" w:hAnsi="Garamond"/>
          <w:sz w:val="24"/>
          <w:szCs w:val="24"/>
          <w:lang w:val="es-ES"/>
        </w:rPr>
      </w:pPr>
      <w:r w:rsidRPr="00C124A4">
        <w:rPr>
          <w:rFonts w:ascii="Myriad Pro" w:hAnsi="Myriad Pro"/>
          <w:sz w:val="24"/>
          <w:szCs w:val="24"/>
          <w:lang w:val="es-ES"/>
        </w:rPr>
        <w:tab/>
        <w:t xml:space="preserve">El problema dogmático que presenta la apelación a conceptos como la adecuación social, puede ser generalizado. Una situación semejante, se presenta cuando se califica una acción como dentro del ámbito del </w:t>
      </w:r>
      <w:r w:rsidRPr="00C124A4">
        <w:rPr>
          <w:rFonts w:ascii="Myriad Pro" w:hAnsi="Myriad Pro"/>
          <w:i/>
          <w:sz w:val="24"/>
          <w:szCs w:val="24"/>
          <w:lang w:val="es-ES"/>
        </w:rPr>
        <w:t>riesgo permitido</w:t>
      </w:r>
      <w:r w:rsidRPr="00C124A4">
        <w:rPr>
          <w:rStyle w:val="Ancladenotaalpie"/>
          <w:rFonts w:ascii="Myriad Pro" w:hAnsi="Myriad Pro"/>
          <w:sz w:val="24"/>
          <w:szCs w:val="24"/>
        </w:rPr>
        <w:footnoteReference w:id="9"/>
      </w:r>
      <w:r w:rsidRPr="00C124A4">
        <w:rPr>
          <w:rFonts w:ascii="Myriad Pro" w:hAnsi="Myriad Pro"/>
          <w:sz w:val="24"/>
          <w:szCs w:val="24"/>
          <w:lang w:val="es-ES"/>
        </w:rPr>
        <w:t xml:space="preserve"> o se apela a una </w:t>
      </w:r>
      <w:r w:rsidRPr="00C124A4">
        <w:rPr>
          <w:rFonts w:ascii="Myriad Pro" w:hAnsi="Myriad Pro"/>
          <w:i/>
          <w:sz w:val="24"/>
          <w:szCs w:val="24"/>
          <w:lang w:val="es-ES"/>
        </w:rPr>
        <w:t>prohibición de regreso</w:t>
      </w:r>
      <w:r w:rsidRPr="00C124A4">
        <w:rPr>
          <w:rStyle w:val="Refdenotaalpie"/>
          <w:rFonts w:ascii="Myriad Pro" w:hAnsi="Myriad Pro"/>
          <w:i/>
          <w:sz w:val="24"/>
          <w:szCs w:val="24"/>
          <w:lang w:val="es-ES"/>
        </w:rPr>
        <w:footnoteReference w:id="10"/>
      </w:r>
      <w:r w:rsidRPr="00C124A4">
        <w:rPr>
          <w:rFonts w:ascii="Myriad Pro" w:hAnsi="Myriad Pro"/>
          <w:sz w:val="24"/>
          <w:szCs w:val="24"/>
          <w:lang w:val="es-ES"/>
        </w:rPr>
        <w:t xml:space="preserve"> </w:t>
      </w:r>
      <w:r w:rsidRPr="00C124A4">
        <w:rPr>
          <w:rFonts w:ascii="Garamond" w:hAnsi="Garamond"/>
          <w:sz w:val="24"/>
          <w:szCs w:val="24"/>
          <w:lang w:val="es-ES"/>
        </w:rPr>
        <w:t xml:space="preserve"> </w:t>
      </w:r>
      <w:r w:rsidRPr="00C124A4">
        <w:rPr>
          <w:rFonts w:ascii="Myriad Pro" w:hAnsi="Myriad Pro"/>
          <w:sz w:val="24"/>
          <w:szCs w:val="24"/>
          <w:lang w:val="es-ES"/>
        </w:rPr>
        <w:t>para excluir la punibilidad de una conducta previa a la pri</w:t>
      </w:r>
      <w:r w:rsidRPr="00C124A4">
        <w:rPr>
          <w:rFonts w:ascii="Myriad Pro" w:hAnsi="Myriad Pro"/>
          <w:sz w:val="24"/>
          <w:szCs w:val="24"/>
          <w:lang w:val="es-ES"/>
        </w:rPr>
        <w:t>n</w:t>
      </w:r>
      <w:r w:rsidRPr="00C124A4">
        <w:rPr>
          <w:rFonts w:ascii="Myriad Pro" w:hAnsi="Myriad Pro"/>
          <w:sz w:val="24"/>
          <w:szCs w:val="24"/>
          <w:lang w:val="es-ES"/>
        </w:rPr>
        <w:t>cipal. Se trata de conceptos indeterminados que son habitualmente utilizados para resolver problemas de calificación jurídica de conductas, al margen de las categorías tradicionales de la teoría del delito. La indeterminación de su contenido y los límites del concepto, son tanto su ventaja como su desventaja. La ventaja radica en su plasticidad. Todas las acciones dañosas pueden ser señaladas como inadecuadas socialmente. La desventaja radica en su incapacidad para soportar reflexiones jurídico-penales correctas, dado que le desconoce su primacía al Derecho vigente. En pal</w:t>
      </w:r>
      <w:r w:rsidRPr="00C124A4">
        <w:rPr>
          <w:rFonts w:ascii="Myriad Pro" w:hAnsi="Myriad Pro"/>
          <w:sz w:val="24"/>
          <w:szCs w:val="24"/>
          <w:lang w:val="es-ES"/>
        </w:rPr>
        <w:t>a</w:t>
      </w:r>
      <w:r w:rsidRPr="00C124A4">
        <w:rPr>
          <w:rFonts w:ascii="Myriad Pro" w:hAnsi="Myriad Pro"/>
          <w:sz w:val="24"/>
          <w:szCs w:val="24"/>
          <w:lang w:val="es-ES"/>
        </w:rPr>
        <w:t>bras de Kindhäuser (2018):</w:t>
      </w:r>
      <w:r w:rsidRPr="00C124A4">
        <w:rPr>
          <w:rFonts w:ascii="Garamond" w:hAnsi="Garamond"/>
          <w:sz w:val="24"/>
          <w:szCs w:val="24"/>
          <w:lang w:val="es-ES"/>
        </w:rPr>
        <w:t xml:space="preserve"> </w:t>
      </w:r>
    </w:p>
    <w:p w14:paraId="0D74932D" w14:textId="77777777" w:rsidR="00C124A4" w:rsidRPr="00C124A4" w:rsidRDefault="00C124A4" w:rsidP="009F33BF">
      <w:pPr>
        <w:spacing w:before="200" w:line="240" w:lineRule="auto"/>
        <w:ind w:left="1134"/>
        <w:jc w:val="both"/>
        <w:rPr>
          <w:rFonts w:ascii="Myriad Pro" w:hAnsi="Myriad Pro"/>
          <w:sz w:val="24"/>
          <w:szCs w:val="24"/>
        </w:rPr>
      </w:pPr>
      <w:r w:rsidRPr="00C124A4">
        <w:rPr>
          <w:rFonts w:ascii="Myriad Pro" w:hAnsi="Myriad Pro"/>
          <w:sz w:val="24"/>
          <w:szCs w:val="24"/>
        </w:rPr>
        <w:t xml:space="preserve">Diffuse Hinweise auf Volk, Gesellschaft oder Alltagswertungen sind als solche völlig unzureichend, um strafbares Unrecht zu begrenzen [...]. </w:t>
      </w:r>
      <w:r w:rsidRPr="00C124A4">
        <w:rPr>
          <w:rFonts w:ascii="Myriad Pro" w:hAnsi="Myriad Pro"/>
          <w:sz w:val="24"/>
          <w:szCs w:val="24"/>
          <w:lang w:val="en-US"/>
        </w:rPr>
        <w:t xml:space="preserve">Die Formel von der sozialen Adäquanz </w:t>
      </w:r>
      <w:proofErr w:type="gramStart"/>
      <w:r w:rsidRPr="00C124A4">
        <w:rPr>
          <w:rFonts w:ascii="Myriad Pro" w:hAnsi="Myriad Pro"/>
          <w:sz w:val="24"/>
          <w:szCs w:val="24"/>
          <w:lang w:val="en-US"/>
        </w:rPr>
        <w:t>ist</w:t>
      </w:r>
      <w:proofErr w:type="gramEnd"/>
      <w:r w:rsidRPr="00C124A4">
        <w:rPr>
          <w:rFonts w:ascii="Myriad Pro" w:hAnsi="Myriad Pro"/>
          <w:sz w:val="24"/>
          <w:szCs w:val="24"/>
          <w:lang w:val="en-US"/>
        </w:rPr>
        <w:t xml:space="preserve"> mithin ein inhaltsleerer Topos. Was sozial adäquat </w:t>
      </w:r>
      <w:proofErr w:type="gramStart"/>
      <w:r w:rsidRPr="00C124A4">
        <w:rPr>
          <w:rFonts w:ascii="Myriad Pro" w:hAnsi="Myriad Pro"/>
          <w:sz w:val="24"/>
          <w:szCs w:val="24"/>
          <w:lang w:val="en-US"/>
        </w:rPr>
        <w:t>ist</w:t>
      </w:r>
      <w:proofErr w:type="gramEnd"/>
      <w:r w:rsidRPr="00C124A4">
        <w:rPr>
          <w:rFonts w:ascii="Myriad Pro" w:hAnsi="Myriad Pro"/>
          <w:sz w:val="24"/>
          <w:szCs w:val="24"/>
          <w:lang w:val="en-US"/>
        </w:rPr>
        <w:t xml:space="preserve">, richtet sich nach den Wertungen und Prinzipien des Rechts und nicht umgekehrt. </w:t>
      </w:r>
      <w:r w:rsidRPr="00C124A4">
        <w:rPr>
          <w:rFonts w:ascii="Myriad Pro" w:hAnsi="Myriad Pro"/>
          <w:sz w:val="24"/>
          <w:szCs w:val="24"/>
        </w:rPr>
        <w:t>(p. 57)</w:t>
      </w:r>
      <w:r w:rsidRPr="00C124A4">
        <w:rPr>
          <w:rStyle w:val="Ancladenotaalpie"/>
          <w:rFonts w:ascii="Myriad Pro" w:hAnsi="Myriad Pro"/>
          <w:sz w:val="24"/>
          <w:szCs w:val="24"/>
        </w:rPr>
        <w:footnoteReference w:id="11"/>
      </w:r>
    </w:p>
    <w:p w14:paraId="4C3EEA35" w14:textId="712B5738" w:rsidR="00C124A4" w:rsidRPr="00C124A4" w:rsidRDefault="00C124A4" w:rsidP="00C124A4">
      <w:pPr>
        <w:spacing w:before="200"/>
        <w:jc w:val="both"/>
        <w:rPr>
          <w:rFonts w:ascii="Myriad Pro" w:hAnsi="Myriad Pro"/>
          <w:sz w:val="24"/>
          <w:szCs w:val="24"/>
          <w:lang w:val="es-ES"/>
        </w:rPr>
      </w:pPr>
      <w:r>
        <w:rPr>
          <w:rFonts w:ascii="Myriad Pro" w:hAnsi="Myriad Pro"/>
          <w:sz w:val="24"/>
          <w:szCs w:val="24"/>
          <w:lang w:val="es-ES"/>
        </w:rPr>
        <w:tab/>
      </w:r>
      <w:r w:rsidRPr="00C124A4">
        <w:rPr>
          <w:rFonts w:ascii="Myriad Pro" w:hAnsi="Myriad Pro"/>
          <w:sz w:val="24"/>
          <w:szCs w:val="24"/>
          <w:lang w:val="es-ES"/>
        </w:rPr>
        <w:t>La apelación a dicho concepto, merece las siguientes objeciones:</w:t>
      </w:r>
    </w:p>
    <w:p w14:paraId="24ABCA53" w14:textId="77777777" w:rsidR="00C124A4" w:rsidRPr="00C124A4" w:rsidRDefault="00C124A4" w:rsidP="00C124A4">
      <w:pPr>
        <w:jc w:val="both"/>
        <w:rPr>
          <w:rFonts w:ascii="Myriad Pro" w:hAnsi="Myriad Pro"/>
          <w:sz w:val="24"/>
          <w:szCs w:val="24"/>
          <w:lang w:val="es-ES"/>
        </w:rPr>
      </w:pPr>
      <w:r w:rsidRPr="00C124A4">
        <w:rPr>
          <w:rFonts w:ascii="Myriad Pro" w:hAnsi="Myriad Pro"/>
          <w:sz w:val="24"/>
          <w:szCs w:val="24"/>
          <w:lang w:val="es-ES"/>
        </w:rPr>
        <w:tab/>
        <w:t>La primera es conocida. Tal como la calificación de una acción como neutral, la calificación de una acción como socialmente adecuada es esencialmente un problema de descripción de la acción (Schurmann Opazo, 2020, p. 270 y ss.; En este se</w:t>
      </w:r>
      <w:r w:rsidRPr="00C124A4">
        <w:rPr>
          <w:rFonts w:ascii="Myriad Pro" w:hAnsi="Myriad Pro"/>
          <w:sz w:val="24"/>
          <w:szCs w:val="24"/>
          <w:lang w:val="es-ES"/>
        </w:rPr>
        <w:t>n</w:t>
      </w:r>
      <w:r w:rsidRPr="00C124A4">
        <w:rPr>
          <w:rFonts w:ascii="Myriad Pro" w:hAnsi="Myriad Pro"/>
          <w:sz w:val="24"/>
          <w:szCs w:val="24"/>
          <w:lang w:val="es-ES"/>
        </w:rPr>
        <w:t xml:space="preserve">tido especialmente </w:t>
      </w:r>
      <w:r w:rsidRPr="00C124A4">
        <w:rPr>
          <w:rFonts w:ascii="Myriad Pro" w:hAnsi="Myriad Pro"/>
          <w:sz w:val="24"/>
          <w:szCs w:val="24"/>
        </w:rPr>
        <w:t>Kindhäuser</w:t>
      </w:r>
      <w:r w:rsidRPr="00C124A4">
        <w:rPr>
          <w:rFonts w:ascii="Myriad Pro" w:hAnsi="Myriad Pro"/>
          <w:sz w:val="24"/>
          <w:szCs w:val="24"/>
          <w:lang w:val="es-ES"/>
        </w:rPr>
        <w:t xml:space="preserve">, 2018, p. 50-51; previamente </w:t>
      </w:r>
      <w:r w:rsidRPr="00C124A4">
        <w:rPr>
          <w:rFonts w:ascii="Myriad Pro" w:hAnsi="Myriad Pro"/>
          <w:sz w:val="24"/>
          <w:szCs w:val="24"/>
        </w:rPr>
        <w:t>Kindhäuser</w:t>
      </w:r>
      <w:r w:rsidRPr="00C124A4">
        <w:rPr>
          <w:rFonts w:ascii="Myriad Pro" w:hAnsi="Myriad Pro"/>
          <w:sz w:val="24"/>
          <w:szCs w:val="24"/>
          <w:lang w:val="es-ES"/>
        </w:rPr>
        <w:t xml:space="preserve">, </w:t>
      </w:r>
      <w:r w:rsidRPr="00C124A4">
        <w:rPr>
          <w:rFonts w:ascii="Myriad Pro" w:hAnsi="Myriad Pro"/>
          <w:sz w:val="24"/>
          <w:szCs w:val="24"/>
        </w:rPr>
        <w:t xml:space="preserve">2010, p. </w:t>
      </w:r>
      <w:r w:rsidRPr="00C124A4">
        <w:rPr>
          <w:rFonts w:ascii="Myriad Pro" w:hAnsi="Myriad Pro"/>
          <w:sz w:val="24"/>
          <w:szCs w:val="24"/>
          <w:lang w:val="es-ES"/>
        </w:rPr>
        <w:t xml:space="preserve">409 y ss.; de acuerdo </w:t>
      </w:r>
      <w:r w:rsidRPr="00C124A4">
        <w:rPr>
          <w:rFonts w:ascii="Myriad Pro" w:hAnsi="Myriad Pro"/>
          <w:sz w:val="24"/>
          <w:szCs w:val="24"/>
        </w:rPr>
        <w:t>Kudlich, 2004, p, 82</w:t>
      </w:r>
      <w:r w:rsidRPr="00C124A4">
        <w:rPr>
          <w:rFonts w:ascii="Myriad Pro" w:hAnsi="Myriad Pro"/>
          <w:sz w:val="24"/>
          <w:szCs w:val="24"/>
          <w:lang w:val="es-ES"/>
        </w:rPr>
        <w:t xml:space="preserve">, quien denomina a esa característica como dependiente-del-contexto). Una acción puede ser vista </w:t>
      </w:r>
      <w:r w:rsidRPr="00C124A4">
        <w:rPr>
          <w:rFonts w:ascii="Myriad Pro" w:hAnsi="Myriad Pro"/>
          <w:sz w:val="24"/>
          <w:szCs w:val="24"/>
          <w:lang w:val="es-ES_tradnl"/>
        </w:rPr>
        <w:t>—</w:t>
      </w:r>
      <w:r w:rsidRPr="00C124A4">
        <w:rPr>
          <w:rFonts w:ascii="Myriad Pro" w:hAnsi="Myriad Pro"/>
          <w:sz w:val="24"/>
          <w:szCs w:val="24"/>
          <w:lang w:val="es-ES"/>
        </w:rPr>
        <w:t>bajo una determinada descripción</w:t>
      </w:r>
      <w:r w:rsidRPr="00C124A4">
        <w:rPr>
          <w:rFonts w:ascii="Myriad Pro" w:hAnsi="Myriad Pro"/>
          <w:sz w:val="24"/>
          <w:szCs w:val="24"/>
          <w:lang w:val="es-ES_tradnl"/>
        </w:rPr>
        <w:t>—</w:t>
      </w:r>
      <w:r w:rsidRPr="00C124A4">
        <w:rPr>
          <w:rFonts w:ascii="Myriad Pro" w:hAnsi="Myriad Pro"/>
          <w:sz w:val="24"/>
          <w:szCs w:val="24"/>
          <w:lang w:val="es-ES"/>
        </w:rPr>
        <w:t xml:space="preserve"> como socialmente adecuada y </w:t>
      </w:r>
      <w:r w:rsidRPr="00C124A4">
        <w:rPr>
          <w:rFonts w:ascii="Myriad Pro" w:hAnsi="Myriad Pro"/>
          <w:sz w:val="24"/>
          <w:szCs w:val="24"/>
          <w:lang w:val="es-ES_tradnl"/>
        </w:rPr>
        <w:t>—</w:t>
      </w:r>
      <w:r w:rsidRPr="00C124A4">
        <w:rPr>
          <w:rFonts w:ascii="Myriad Pro" w:hAnsi="Myriad Pro"/>
          <w:sz w:val="24"/>
          <w:szCs w:val="24"/>
          <w:lang w:val="es-ES"/>
        </w:rPr>
        <w:t>bajo otra, con mejor información</w:t>
      </w:r>
      <w:r w:rsidRPr="00C124A4">
        <w:rPr>
          <w:rFonts w:ascii="Myriad Pro" w:hAnsi="Myriad Pro"/>
          <w:sz w:val="24"/>
          <w:szCs w:val="24"/>
          <w:lang w:val="es-ES_tradnl"/>
        </w:rPr>
        <w:t>—</w:t>
      </w:r>
      <w:r w:rsidRPr="00C124A4">
        <w:rPr>
          <w:rFonts w:ascii="Myriad Pro" w:hAnsi="Myriad Pro"/>
          <w:sz w:val="24"/>
          <w:szCs w:val="24"/>
          <w:lang w:val="es-ES"/>
        </w:rPr>
        <w:t xml:space="preserve"> c</w:t>
      </w:r>
      <w:r w:rsidRPr="00C124A4">
        <w:rPr>
          <w:rFonts w:ascii="Myriad Pro" w:hAnsi="Myriad Pro"/>
          <w:sz w:val="24"/>
          <w:szCs w:val="24"/>
          <w:lang w:val="es-ES"/>
        </w:rPr>
        <w:t>o</w:t>
      </w:r>
      <w:r w:rsidRPr="00C124A4">
        <w:rPr>
          <w:rFonts w:ascii="Myriad Pro" w:hAnsi="Myriad Pro"/>
          <w:sz w:val="24"/>
          <w:szCs w:val="24"/>
          <w:lang w:val="es-ES"/>
        </w:rPr>
        <w:t xml:space="preserve">mo una acción típica. No existe un argumento plausible para darle una preferencia a este punto de vista por sobre el de las categorías propias del Derecho penal. La </w:t>
      </w:r>
      <w:r w:rsidRPr="00C124A4">
        <w:rPr>
          <w:rFonts w:ascii="Myriad Pro" w:hAnsi="Myriad Pro"/>
          <w:sz w:val="24"/>
          <w:szCs w:val="24"/>
          <w:lang w:val="es-ES"/>
        </w:rPr>
        <w:lastRenderedPageBreak/>
        <w:t>segunda y más importante objeción contra la teoría de la adecuación social, es la esc</w:t>
      </w:r>
      <w:r w:rsidRPr="00C124A4">
        <w:rPr>
          <w:rFonts w:ascii="Myriad Pro" w:hAnsi="Myriad Pro"/>
          <w:sz w:val="24"/>
          <w:szCs w:val="24"/>
          <w:lang w:val="es-ES"/>
        </w:rPr>
        <w:t>a</w:t>
      </w:r>
      <w:r w:rsidRPr="00C124A4">
        <w:rPr>
          <w:rFonts w:ascii="Myriad Pro" w:hAnsi="Myriad Pro"/>
          <w:sz w:val="24"/>
          <w:szCs w:val="24"/>
          <w:lang w:val="es-ES"/>
        </w:rPr>
        <w:t>sa determinación de la categoría –</w:t>
      </w:r>
      <w:r w:rsidRPr="00C124A4">
        <w:rPr>
          <w:rFonts w:ascii="Myriad Pro" w:hAnsi="Myriad Pro"/>
          <w:sz w:val="24"/>
          <w:szCs w:val="24"/>
        </w:rPr>
        <w:t xml:space="preserve"> Bloy (1985, pp. 139 y ss., especialmente la nota al pie 59) </w:t>
      </w:r>
      <w:r w:rsidRPr="00C124A4">
        <w:rPr>
          <w:rFonts w:ascii="Myriad Pro" w:hAnsi="Myriad Pro"/>
          <w:sz w:val="24"/>
          <w:szCs w:val="24"/>
          <w:lang w:val="es-ES"/>
        </w:rPr>
        <w:t xml:space="preserve">la denomina como una fórmula vacía </w:t>
      </w:r>
      <w:r w:rsidRPr="00C124A4">
        <w:rPr>
          <w:rFonts w:ascii="Myriad Pro" w:hAnsi="Myriad Pro"/>
          <w:bCs/>
          <w:sz w:val="24"/>
          <w:szCs w:val="24"/>
          <w:lang w:val="es-ES"/>
        </w:rPr>
        <w:t xml:space="preserve">; </w:t>
      </w:r>
      <w:r w:rsidRPr="00C124A4">
        <w:rPr>
          <w:rFonts w:ascii="Myriad Pro" w:hAnsi="Myriad Pro"/>
          <w:sz w:val="24"/>
          <w:szCs w:val="24"/>
        </w:rPr>
        <w:t>Beckemper</w:t>
      </w:r>
      <w:r w:rsidRPr="00C124A4">
        <w:rPr>
          <w:rFonts w:ascii="Myriad Pro" w:hAnsi="Myriad Pro"/>
          <w:sz w:val="24"/>
          <w:szCs w:val="24"/>
          <w:lang w:val="es-ES"/>
        </w:rPr>
        <w:t xml:space="preserve"> (2001, p. 166) se refiere a este criterio como un concepto muy impreciso;</w:t>
      </w:r>
      <w:r w:rsidRPr="00C124A4">
        <w:rPr>
          <w:rFonts w:ascii="Myriad Pro" w:hAnsi="Myriad Pro"/>
          <w:sz w:val="24"/>
          <w:szCs w:val="24"/>
        </w:rPr>
        <w:t xml:space="preserve"> en el mismo sentido; Frisch (1988, p. 296)–</w:t>
      </w:r>
      <w:r w:rsidRPr="00C124A4">
        <w:rPr>
          <w:rFonts w:ascii="Myriad Pro" w:hAnsi="Myriad Pro"/>
          <w:sz w:val="24"/>
          <w:szCs w:val="24"/>
          <w:lang w:val="es-ES"/>
        </w:rPr>
        <w:t xml:space="preserve">, incluso Hassemer </w:t>
      </w:r>
      <w:r w:rsidRPr="00C124A4">
        <w:rPr>
          <w:rFonts w:ascii="Myriad Pro" w:hAnsi="Myriad Pro"/>
          <w:sz w:val="24"/>
          <w:szCs w:val="24"/>
        </w:rPr>
        <w:t>(1995a, p. 46)</w:t>
      </w:r>
      <w:r w:rsidRPr="00C124A4">
        <w:rPr>
          <w:rFonts w:ascii="Myriad Pro" w:hAnsi="Myriad Pro"/>
          <w:sz w:val="24"/>
          <w:szCs w:val="24"/>
          <w:lang w:val="es-ES"/>
        </w:rPr>
        <w:t xml:space="preserve">, que funda su propia </w:t>
      </w:r>
      <w:r w:rsidRPr="00C124A4">
        <w:rPr>
          <w:rFonts w:ascii="Myriad Pro" w:hAnsi="Myriad Pro"/>
          <w:sz w:val="24"/>
          <w:szCs w:val="24"/>
        </w:rPr>
        <w:t>teoría parcialmente en este concepto, afirma que la teoría de la adecuación social es una mezcolanza de lugares comunes, es por ello que intenta una investigación clarificadora en ámbitos profesionales. Distintos autores utilizan el concepto de forma dispar, dicho estado es descrito precisamente por las siguientes palabras de Kindhäuser (2018):</w:t>
      </w:r>
    </w:p>
    <w:p w14:paraId="6D7D882C" w14:textId="77777777" w:rsidR="00C124A4" w:rsidRPr="00C124A4" w:rsidRDefault="00C124A4" w:rsidP="009F33BF">
      <w:pPr>
        <w:spacing w:before="200" w:line="240" w:lineRule="auto"/>
        <w:ind w:left="1134"/>
        <w:jc w:val="both"/>
        <w:rPr>
          <w:rFonts w:ascii="Myriad Pro" w:hAnsi="Myriad Pro"/>
          <w:sz w:val="24"/>
          <w:szCs w:val="24"/>
        </w:rPr>
      </w:pPr>
      <w:r w:rsidRPr="00C124A4">
        <w:rPr>
          <w:rFonts w:ascii="Myriad Pro" w:hAnsi="Myriad Pro"/>
          <w:sz w:val="24"/>
          <w:szCs w:val="24"/>
          <w:lang w:val="en-US"/>
        </w:rPr>
        <w:t xml:space="preserve">Das Schlagwort von der sozialen Adäquanz hat seither eine geradezu atemberaubende akademische Karriere durchlaufen und </w:t>
      </w:r>
      <w:proofErr w:type="gramStart"/>
      <w:r w:rsidRPr="00C124A4">
        <w:rPr>
          <w:rFonts w:ascii="Myriad Pro" w:hAnsi="Myriad Pro"/>
          <w:sz w:val="24"/>
          <w:szCs w:val="24"/>
          <w:lang w:val="en-US"/>
        </w:rPr>
        <w:t>ist</w:t>
      </w:r>
      <w:proofErr w:type="gramEnd"/>
      <w:r w:rsidRPr="00C124A4">
        <w:rPr>
          <w:rFonts w:ascii="Myriad Pro" w:hAnsi="Myriad Pro"/>
          <w:sz w:val="24"/>
          <w:szCs w:val="24"/>
          <w:lang w:val="en-US"/>
        </w:rPr>
        <w:t xml:space="preserve"> selbst in die höchstrichterliche Rechtsprechung eingegangen. Allerdings hat diese Entwicklung zu einem recht verschwommenen Kriterium des Unrechtsausschlusses geführt, dessen Erforderlichkeit, inhaltliche Präzision und deliktssystematische Lozierung kaum </w:t>
      </w:r>
      <w:proofErr w:type="gramStart"/>
      <w:r w:rsidRPr="00C124A4">
        <w:rPr>
          <w:rFonts w:ascii="Myriad Pro" w:hAnsi="Myriad Pro"/>
          <w:sz w:val="24"/>
          <w:szCs w:val="24"/>
          <w:lang w:val="en-US"/>
        </w:rPr>
        <w:t>als</w:t>
      </w:r>
      <w:proofErr w:type="gramEnd"/>
      <w:r w:rsidRPr="00C124A4">
        <w:rPr>
          <w:rFonts w:ascii="Myriad Pro" w:hAnsi="Myriad Pro"/>
          <w:sz w:val="24"/>
          <w:szCs w:val="24"/>
          <w:lang w:val="en-US"/>
        </w:rPr>
        <w:t xml:space="preserve"> auch nur halbwegs dogmatisch gesichert angesehen werden können. Während nach einer Auffassung (Jakobs) ‚erlaubtes Risiko, Vertrauensgrundsatz, garantenbezogene Begehung und Regressverbot’ </w:t>
      </w:r>
      <w:proofErr w:type="gramStart"/>
      <w:r w:rsidRPr="00C124A4">
        <w:rPr>
          <w:rFonts w:ascii="Myriad Pro" w:hAnsi="Myriad Pro"/>
          <w:sz w:val="24"/>
          <w:szCs w:val="24"/>
          <w:lang w:val="en-US"/>
        </w:rPr>
        <w:t>als</w:t>
      </w:r>
      <w:proofErr w:type="gramEnd"/>
      <w:r w:rsidRPr="00C124A4">
        <w:rPr>
          <w:rFonts w:ascii="Myriad Pro" w:hAnsi="Myriad Pro"/>
          <w:sz w:val="24"/>
          <w:szCs w:val="24"/>
          <w:lang w:val="en-US"/>
        </w:rPr>
        <w:t xml:space="preserve"> Explikationen der Sozialadäquanz zu verstehen sind, ist nach anderer Ansicht (Roxin) die soziale Inadäquanz allenfalls eine hermeneutische Richtlinie der Tatbestandsauslegung. </w:t>
      </w:r>
      <w:r w:rsidRPr="00C124A4">
        <w:rPr>
          <w:rFonts w:ascii="Myriad Pro" w:hAnsi="Myriad Pro"/>
          <w:sz w:val="24"/>
          <w:szCs w:val="24"/>
        </w:rPr>
        <w:t>(p. 48)</w:t>
      </w:r>
      <w:r w:rsidRPr="00C124A4">
        <w:rPr>
          <w:rStyle w:val="Ancladenotaalpie"/>
          <w:rFonts w:ascii="Myriad Pro" w:hAnsi="Myriad Pro"/>
          <w:sz w:val="24"/>
          <w:szCs w:val="24"/>
        </w:rPr>
        <w:t xml:space="preserve"> </w:t>
      </w:r>
      <w:r w:rsidRPr="00C124A4">
        <w:rPr>
          <w:rStyle w:val="Ancladenotaalpie"/>
          <w:rFonts w:ascii="Myriad Pro" w:hAnsi="Myriad Pro"/>
          <w:sz w:val="24"/>
          <w:szCs w:val="24"/>
        </w:rPr>
        <w:footnoteReference w:id="12"/>
      </w:r>
    </w:p>
    <w:p w14:paraId="03DDFEC4" w14:textId="10095DD9" w:rsidR="00C124A4" w:rsidRDefault="00C124A4" w:rsidP="00C124A4">
      <w:pPr>
        <w:jc w:val="both"/>
        <w:rPr>
          <w:rFonts w:ascii="Myriad Pro" w:hAnsi="Myriad Pro"/>
          <w:sz w:val="24"/>
          <w:szCs w:val="24"/>
          <w:lang w:val="es-ES"/>
        </w:rPr>
      </w:pPr>
      <w:r w:rsidRPr="00C124A4">
        <w:rPr>
          <w:rFonts w:ascii="Myriad Pro" w:hAnsi="Myriad Pro"/>
          <w:sz w:val="24"/>
          <w:szCs w:val="24"/>
          <w:lang w:val="es-ES"/>
        </w:rPr>
        <w:tab/>
        <w:t>Lo que provoca que la adecuación social pueda no solo ser un fundamento para la atipicidad de una acción, sino que también la conclusión de otros fundamentos jurídicos, como por ejemplo de una causa de justificación. En este último sentido, la calificación de la acción como adecuada socialmente tiene el mismo valor que su calificación como impune y, por ello, no solo resulta irrelevante para el análisis, sino que también contra productivo, dado que el fundamento jurídico preciso y real para la impunidad de la conducta es disimulado bajo la calificación (fenomenológica o naturalística) de adecuación social (</w:t>
      </w:r>
      <w:r w:rsidRPr="00C124A4">
        <w:rPr>
          <w:rFonts w:ascii="Myriad Pro" w:hAnsi="Myriad Pro"/>
          <w:sz w:val="24"/>
          <w:szCs w:val="24"/>
        </w:rPr>
        <w:t xml:space="preserve">Kindhäuser, 2018, p. 53 y ss.). </w:t>
      </w:r>
      <w:r w:rsidRPr="00C124A4">
        <w:rPr>
          <w:rFonts w:ascii="Myriad Pro" w:hAnsi="Myriad Pro"/>
          <w:sz w:val="24"/>
          <w:szCs w:val="24"/>
          <w:lang w:val="es-ES"/>
        </w:rPr>
        <w:t>Así, no resulta claro cuál efecto tendría sobre una determinada conducta la calificación de ella como adecuada socialmente. Resulta evidente, que el más importante efecto es la exclusión del injusto y, por ello, la permisión de la conducta. Sin embargo, el carácter permitido de una acción puede tener dos sentidos diversos, uno débil y otro fuerte (f</w:t>
      </w:r>
      <w:r w:rsidRPr="00C124A4">
        <w:rPr>
          <w:rFonts w:ascii="Myriad Pro" w:hAnsi="Myriad Pro"/>
          <w:sz w:val="24"/>
          <w:szCs w:val="24"/>
        </w:rPr>
        <w:t>undame</w:t>
      </w:r>
      <w:r w:rsidRPr="00C124A4">
        <w:rPr>
          <w:rFonts w:ascii="Myriad Pro" w:hAnsi="Myriad Pro"/>
          <w:sz w:val="24"/>
          <w:szCs w:val="24"/>
        </w:rPr>
        <w:t>n</w:t>
      </w:r>
      <w:r w:rsidRPr="00C124A4">
        <w:rPr>
          <w:rFonts w:ascii="Myriad Pro" w:hAnsi="Myriad Pro"/>
          <w:sz w:val="24"/>
          <w:szCs w:val="24"/>
        </w:rPr>
        <w:t>tal Von Wright, 1974, pp. 31 y ss.; 1963, Nm. 10; Kindhäuser, 2018, p. 51 y ss.; Mañalich Raffo, 2015, p. 289 y ss.).</w:t>
      </w:r>
      <w:r w:rsidRPr="00C124A4">
        <w:rPr>
          <w:rFonts w:ascii="Myriad Pro" w:hAnsi="Myriad Pro"/>
          <w:sz w:val="24"/>
          <w:szCs w:val="24"/>
          <w:lang w:val="es-ES"/>
        </w:rPr>
        <w:t xml:space="preserve"> Si el carácter </w:t>
      </w:r>
      <w:r w:rsidRPr="00C124A4">
        <w:rPr>
          <w:rFonts w:ascii="Myriad Pro" w:hAnsi="Myriad Pro"/>
          <w:sz w:val="24"/>
          <w:szCs w:val="24"/>
          <w:lang w:val="es-ES"/>
        </w:rPr>
        <w:lastRenderedPageBreak/>
        <w:t>permitido de una acción proviene de la ause</w:t>
      </w:r>
      <w:r w:rsidRPr="00C124A4">
        <w:rPr>
          <w:rFonts w:ascii="Myriad Pro" w:hAnsi="Myriad Pro"/>
          <w:sz w:val="24"/>
          <w:szCs w:val="24"/>
          <w:lang w:val="es-ES"/>
        </w:rPr>
        <w:t>n</w:t>
      </w:r>
      <w:r w:rsidRPr="00C124A4">
        <w:rPr>
          <w:rFonts w:ascii="Myriad Pro" w:hAnsi="Myriad Pro"/>
          <w:sz w:val="24"/>
          <w:szCs w:val="24"/>
          <w:lang w:val="es-ES"/>
        </w:rPr>
        <w:t>cia de prohibición, ella se encuentra permitida en un sentido débil. Desde un punto de vista de la teoría de las normas, una acción se encuentra permitida en dicho sent</w:t>
      </w:r>
      <w:r w:rsidRPr="00C124A4">
        <w:rPr>
          <w:rFonts w:ascii="Myriad Pro" w:hAnsi="Myriad Pro"/>
          <w:sz w:val="24"/>
          <w:szCs w:val="24"/>
          <w:lang w:val="es-ES"/>
        </w:rPr>
        <w:t>i</w:t>
      </w:r>
      <w:r w:rsidRPr="00C124A4">
        <w:rPr>
          <w:rFonts w:ascii="Myriad Pro" w:hAnsi="Myriad Pro"/>
          <w:sz w:val="24"/>
          <w:szCs w:val="24"/>
          <w:lang w:val="es-ES"/>
        </w:rPr>
        <w:t xml:space="preserve">do cuando ella no está prohibida bajo alguna de todas sus posibles descripciones. Si, al contrario, la autorización es el resultado de un fundamento jurídicamente reconocido </w:t>
      </w:r>
      <w:r w:rsidRPr="00C124A4">
        <w:rPr>
          <w:rFonts w:ascii="Myriad Pro" w:hAnsi="Myriad Pro"/>
          <w:sz w:val="24"/>
          <w:szCs w:val="24"/>
          <w:lang w:val="es-ES_tradnl"/>
        </w:rPr>
        <w:t>—</w:t>
      </w:r>
      <w:r w:rsidRPr="00C124A4">
        <w:rPr>
          <w:rFonts w:ascii="Myriad Pro" w:hAnsi="Myriad Pro"/>
          <w:sz w:val="24"/>
          <w:szCs w:val="24"/>
          <w:lang w:val="es-ES"/>
        </w:rPr>
        <w:t>como, por ejemplo, el estado de necesidad</w:t>
      </w:r>
      <w:r w:rsidRPr="00C124A4">
        <w:rPr>
          <w:rFonts w:ascii="Myriad Pro" w:hAnsi="Myriad Pro"/>
          <w:sz w:val="24"/>
          <w:szCs w:val="24"/>
          <w:lang w:val="es-ES_tradnl"/>
        </w:rPr>
        <w:t>—</w:t>
      </w:r>
      <w:r w:rsidRPr="00C124A4">
        <w:rPr>
          <w:rFonts w:ascii="Myriad Pro" w:hAnsi="Myriad Pro"/>
          <w:sz w:val="24"/>
          <w:szCs w:val="24"/>
          <w:lang w:val="es-ES"/>
        </w:rPr>
        <w:t>, entonces la acción está autor</w:t>
      </w:r>
      <w:r w:rsidRPr="00C124A4">
        <w:rPr>
          <w:rFonts w:ascii="Myriad Pro" w:hAnsi="Myriad Pro"/>
          <w:sz w:val="24"/>
          <w:szCs w:val="24"/>
          <w:lang w:val="es-ES"/>
        </w:rPr>
        <w:t>i</w:t>
      </w:r>
      <w:r w:rsidRPr="00C124A4">
        <w:rPr>
          <w:rFonts w:ascii="Myriad Pro" w:hAnsi="Myriad Pro"/>
          <w:sz w:val="24"/>
          <w:szCs w:val="24"/>
          <w:lang w:val="es-ES"/>
        </w:rPr>
        <w:t>zada en un sentido fuerte. Así, una autorización débil no significa algo distinto que la imposibilidad de subsumir la acción bajo algún tipo penal y, con ello, la acción deber ser calificada como penalmente irrelevante, siguiendo la opinión de</w:t>
      </w:r>
      <w:r w:rsidRPr="00C124A4">
        <w:rPr>
          <w:rFonts w:ascii="Myriad Pro" w:hAnsi="Myriad Pro"/>
          <w:smallCaps/>
          <w:sz w:val="24"/>
          <w:szCs w:val="24"/>
          <w:lang w:val="es-ES"/>
        </w:rPr>
        <w:t xml:space="preserve"> </w:t>
      </w:r>
      <w:r w:rsidRPr="00C124A4">
        <w:rPr>
          <w:rFonts w:ascii="Myriad Pro" w:hAnsi="Myriad Pro"/>
          <w:sz w:val="24"/>
          <w:szCs w:val="24"/>
        </w:rPr>
        <w:t>Roxin (1983, p. 310)</w:t>
      </w:r>
      <w:r w:rsidRPr="00C124A4">
        <w:rPr>
          <w:rFonts w:ascii="Myriad Pro" w:hAnsi="Myriad Pro"/>
          <w:sz w:val="24"/>
          <w:szCs w:val="24"/>
          <w:lang w:val="es-ES"/>
        </w:rPr>
        <w:t>, la superficialidad es un riesgo debido al uso de criterios como cláusulas gener</w:t>
      </w:r>
      <w:r w:rsidRPr="00C124A4">
        <w:rPr>
          <w:rFonts w:ascii="Myriad Pro" w:hAnsi="Myriad Pro"/>
          <w:sz w:val="24"/>
          <w:szCs w:val="24"/>
          <w:lang w:val="es-ES"/>
        </w:rPr>
        <w:t>a</w:t>
      </w:r>
      <w:r w:rsidRPr="00C124A4">
        <w:rPr>
          <w:rFonts w:ascii="Myriad Pro" w:hAnsi="Myriad Pro"/>
          <w:sz w:val="24"/>
          <w:szCs w:val="24"/>
          <w:lang w:val="es-ES"/>
        </w:rPr>
        <w:t>les. De acuerdo a dicha distinción, resulta claro que Welzel</w:t>
      </w:r>
      <w:r w:rsidRPr="00C124A4">
        <w:rPr>
          <w:rStyle w:val="Ancladenotaalpie"/>
          <w:rFonts w:ascii="Myriad Pro" w:hAnsi="Myriad Pro"/>
          <w:sz w:val="24"/>
          <w:szCs w:val="24"/>
        </w:rPr>
        <w:footnoteReference w:id="13"/>
      </w:r>
      <w:r w:rsidRPr="00C124A4">
        <w:rPr>
          <w:rFonts w:ascii="Myriad Pro" w:hAnsi="Myriad Pro"/>
          <w:sz w:val="24"/>
          <w:szCs w:val="24"/>
          <w:lang w:val="es-ES"/>
        </w:rPr>
        <w:t xml:space="preserve"> (citado por Roxin, 1983, p. 306) utilizaba la expresión de esa misma forma irrelevante cuando clasificaba a todas las conductas </w:t>
      </w:r>
      <w:r w:rsidRPr="00C124A4">
        <w:rPr>
          <w:rFonts w:ascii="Myriad Pro" w:hAnsi="Myriad Pro"/>
          <w:sz w:val="24"/>
          <w:szCs w:val="24"/>
          <w:lang w:val="es-ES_tradnl"/>
        </w:rPr>
        <w:t>—</w:t>
      </w:r>
      <w:r w:rsidR="009F33BF">
        <w:rPr>
          <w:rFonts w:ascii="Myriad Pro" w:hAnsi="Myriad Pro"/>
          <w:sz w:val="24"/>
          <w:szCs w:val="24"/>
          <w:lang w:val="es-ES"/>
        </w:rPr>
        <w:t>como el dar muerte a una mosca</w:t>
      </w:r>
      <w:r w:rsidRPr="00C124A4">
        <w:rPr>
          <w:rFonts w:ascii="Myriad Pro" w:hAnsi="Myriad Pro"/>
          <w:sz w:val="24"/>
          <w:szCs w:val="24"/>
          <w:lang w:val="es-ES_tradnl"/>
        </w:rPr>
        <w:t>—</w:t>
      </w:r>
      <w:r w:rsidRPr="00C124A4">
        <w:rPr>
          <w:rFonts w:ascii="Myriad Pro" w:hAnsi="Myriad Pro"/>
          <w:sz w:val="24"/>
          <w:szCs w:val="24"/>
          <w:lang w:val="es-ES"/>
        </w:rPr>
        <w:t xml:space="preserve"> en adecuadas e inadecuadas socialmente. Sin embargo, la teoría de la adecuación social ha sido utilizada ta</w:t>
      </w:r>
      <w:r w:rsidRPr="00C124A4">
        <w:rPr>
          <w:rFonts w:ascii="Myriad Pro" w:hAnsi="Myriad Pro"/>
          <w:sz w:val="24"/>
          <w:szCs w:val="24"/>
          <w:lang w:val="es-ES"/>
        </w:rPr>
        <w:t>m</w:t>
      </w:r>
      <w:r w:rsidRPr="00C124A4">
        <w:rPr>
          <w:rFonts w:ascii="Myriad Pro" w:hAnsi="Myriad Pro"/>
          <w:sz w:val="24"/>
          <w:szCs w:val="24"/>
          <w:lang w:val="es-ES"/>
        </w:rPr>
        <w:t>bién en otro sentido, al sostenerse que el carácter socialmente adecuado de una a</w:t>
      </w:r>
      <w:r w:rsidRPr="00C124A4">
        <w:rPr>
          <w:rFonts w:ascii="Myriad Pro" w:hAnsi="Myriad Pro"/>
          <w:sz w:val="24"/>
          <w:szCs w:val="24"/>
          <w:lang w:val="es-ES"/>
        </w:rPr>
        <w:t>c</w:t>
      </w:r>
      <w:r w:rsidRPr="00C124A4">
        <w:rPr>
          <w:rFonts w:ascii="Myriad Pro" w:hAnsi="Myriad Pro"/>
          <w:sz w:val="24"/>
          <w:szCs w:val="24"/>
          <w:lang w:val="es-ES"/>
        </w:rPr>
        <w:t>ción puede fundar la impunidad de un comportamiento típico –v. gr. la entrega de un pequeño y usual regalo de año nuevo a un cartero– (Roxin, 1983, p. 303), lo que implica esgrimir la concurrencia de una autorización fuerte, en tanto dicha calificación puede tener el poder de descartar una norma prohibitiva. Sin embargo, ese p</w:t>
      </w:r>
      <w:r w:rsidRPr="00C124A4">
        <w:rPr>
          <w:rFonts w:ascii="Myriad Pro" w:hAnsi="Myriad Pro"/>
          <w:sz w:val="24"/>
          <w:szCs w:val="24"/>
          <w:lang w:val="es-ES"/>
        </w:rPr>
        <w:t>o</w:t>
      </w:r>
      <w:r w:rsidRPr="00C124A4">
        <w:rPr>
          <w:rFonts w:ascii="Myriad Pro" w:hAnsi="Myriad Pro"/>
          <w:sz w:val="24"/>
          <w:szCs w:val="24"/>
          <w:lang w:val="es-ES"/>
        </w:rPr>
        <w:t>der solo lo puede tener una causa de justificación reconocida (Roxin, 1983, pp. 305 y 313, rechaza ese efecto e intenta situar a la categoría como una restricción del tipo objetivo bajo la denominación del ámbito de protección de la norma), dado que la mera tolerancia a una actividad bajo una descripción en caso alguno puede implicar una autorización fuerte (</w:t>
      </w:r>
      <w:r>
        <w:rPr>
          <w:rFonts w:ascii="Myriad Pro" w:hAnsi="Myriad Pro"/>
          <w:sz w:val="24"/>
          <w:szCs w:val="24"/>
        </w:rPr>
        <w:t xml:space="preserve">Kindhäuser, </w:t>
      </w:r>
      <w:r w:rsidRPr="00C124A4">
        <w:rPr>
          <w:rFonts w:ascii="Myriad Pro" w:hAnsi="Myriad Pro"/>
          <w:sz w:val="24"/>
          <w:szCs w:val="24"/>
        </w:rPr>
        <w:t>2018, p. 57 y. ss.; Von Wright, 1963, Cap., VII, Nm. 10)</w:t>
      </w:r>
      <w:r w:rsidRPr="00C124A4">
        <w:rPr>
          <w:rFonts w:ascii="Myriad Pro" w:hAnsi="Myriad Pro"/>
          <w:sz w:val="24"/>
          <w:szCs w:val="24"/>
          <w:lang w:val="es-ES"/>
        </w:rPr>
        <w:t>.</w:t>
      </w:r>
    </w:p>
    <w:p w14:paraId="51921E14" w14:textId="77777777" w:rsidR="006A7540" w:rsidRDefault="006A7540" w:rsidP="006A7540">
      <w:pPr>
        <w:spacing w:after="0" w:line="240" w:lineRule="auto"/>
        <w:jc w:val="both"/>
        <w:rPr>
          <w:rFonts w:ascii="Myriad Pro" w:hAnsi="Myriad Pro"/>
          <w:sz w:val="24"/>
          <w:szCs w:val="24"/>
          <w:lang w:val="es-ES"/>
        </w:rPr>
      </w:pPr>
    </w:p>
    <w:p w14:paraId="26BDE9F8" w14:textId="64D48E30" w:rsidR="00C124A4" w:rsidRDefault="00C124A4" w:rsidP="006A7540">
      <w:pPr>
        <w:spacing w:after="0" w:line="240" w:lineRule="auto"/>
        <w:jc w:val="center"/>
        <w:rPr>
          <w:rStyle w:val="ListLabel3"/>
          <w:rFonts w:ascii="Myriad Pro" w:hAnsi="Myriad Pro"/>
          <w:b/>
          <w:sz w:val="24"/>
          <w:szCs w:val="24"/>
        </w:rPr>
      </w:pPr>
      <w:r w:rsidRPr="006A7540">
        <w:rPr>
          <w:rFonts w:ascii="Myriad Pro" w:hAnsi="Myriad Pro"/>
          <w:b/>
          <w:sz w:val="24"/>
          <w:szCs w:val="24"/>
          <w:lang w:val="es-ES"/>
        </w:rPr>
        <w:t xml:space="preserve">1.1.2. </w:t>
      </w:r>
      <w:r w:rsidRPr="006A7540">
        <w:rPr>
          <w:rStyle w:val="ListLabel3"/>
          <w:rFonts w:ascii="Myriad Pro" w:hAnsi="Myriad Pro"/>
          <w:b/>
          <w:sz w:val="24"/>
          <w:szCs w:val="24"/>
        </w:rPr>
        <w:t>Comportamiento profesionalmente adecuado</w:t>
      </w:r>
    </w:p>
    <w:p w14:paraId="4963F4AD" w14:textId="77777777" w:rsidR="006A7540" w:rsidRPr="006A7540" w:rsidRDefault="006A7540" w:rsidP="006A7540">
      <w:pPr>
        <w:spacing w:after="0" w:line="240" w:lineRule="auto"/>
        <w:jc w:val="center"/>
        <w:rPr>
          <w:rStyle w:val="ListLabel3"/>
          <w:rFonts w:ascii="Myriad Pro" w:hAnsi="Myriad Pro"/>
          <w:b/>
          <w:sz w:val="24"/>
          <w:szCs w:val="24"/>
        </w:rPr>
      </w:pPr>
    </w:p>
    <w:p w14:paraId="6F7D3EF9" w14:textId="5CFD2CAC" w:rsidR="00C124A4" w:rsidRPr="00C124A4" w:rsidRDefault="00C124A4" w:rsidP="00C124A4">
      <w:pPr>
        <w:spacing w:before="200"/>
        <w:jc w:val="both"/>
        <w:rPr>
          <w:rFonts w:ascii="Myriad Pro" w:hAnsi="Myriad Pro"/>
          <w:sz w:val="24"/>
          <w:szCs w:val="24"/>
          <w:lang w:val="es-ES"/>
        </w:rPr>
      </w:pPr>
      <w:r>
        <w:rPr>
          <w:rFonts w:ascii="Myriad Pro" w:hAnsi="Myriad Pro"/>
          <w:sz w:val="24"/>
          <w:szCs w:val="24"/>
          <w:lang w:val="es-ES"/>
        </w:rPr>
        <w:tab/>
      </w:r>
      <w:r w:rsidRPr="00C124A4">
        <w:rPr>
          <w:rFonts w:ascii="Myriad Pro" w:hAnsi="Myriad Pro"/>
          <w:sz w:val="24"/>
          <w:szCs w:val="24"/>
          <w:lang w:val="es-ES"/>
        </w:rPr>
        <w:t>Una aplicación inmediata de la teoría precedente, se encuentra en la teoría de la adecuación profesional o del comportamiento profesionalmente adecuado desarrollada por Hassemer (1995a, p. 41 y ss.; Hassemer, 1995b, p. 81 y ss.), quien elaboró un ambicioso programa dogmático para investigar la punibilidad en ámbitos prof</w:t>
      </w:r>
      <w:r w:rsidRPr="00C124A4">
        <w:rPr>
          <w:rFonts w:ascii="Myriad Pro" w:hAnsi="Myriad Pro"/>
          <w:sz w:val="24"/>
          <w:szCs w:val="24"/>
          <w:lang w:val="es-ES"/>
        </w:rPr>
        <w:t>e</w:t>
      </w:r>
      <w:r w:rsidRPr="00C124A4">
        <w:rPr>
          <w:rFonts w:ascii="Myriad Pro" w:hAnsi="Myriad Pro"/>
          <w:sz w:val="24"/>
          <w:szCs w:val="24"/>
          <w:lang w:val="es-ES"/>
        </w:rPr>
        <w:t>sionales. Dicho programa, intenta superar la objeción de la indeterminación del parámetro bajo el cual se califica a una acción como adecuada socialmente. La investigación, se encuentra referida a la preconstrucción normativa de los ámbitos profesionales, los cuales pueden estar configurados por una compleja red de distintos t</w:t>
      </w:r>
      <w:r w:rsidRPr="00C124A4">
        <w:rPr>
          <w:rFonts w:ascii="Myriad Pro" w:hAnsi="Myriad Pro"/>
          <w:sz w:val="24"/>
          <w:szCs w:val="24"/>
          <w:lang w:val="es-ES"/>
        </w:rPr>
        <w:t>i</w:t>
      </w:r>
      <w:r w:rsidRPr="00C124A4">
        <w:rPr>
          <w:rFonts w:ascii="Myriad Pro" w:hAnsi="Myriad Pro"/>
          <w:sz w:val="24"/>
          <w:szCs w:val="24"/>
          <w:lang w:val="es-ES"/>
        </w:rPr>
        <w:t>pos de normas y expectativas. Después de determinar la preconstrucción normativa del ámbito profesional, el segundo paso es la valoración de la compatibilidad de d</w:t>
      </w:r>
      <w:r w:rsidRPr="00C124A4">
        <w:rPr>
          <w:rFonts w:ascii="Myriad Pro" w:hAnsi="Myriad Pro"/>
          <w:sz w:val="24"/>
          <w:szCs w:val="24"/>
          <w:lang w:val="es-ES"/>
        </w:rPr>
        <w:t>i</w:t>
      </w:r>
      <w:r w:rsidRPr="00C124A4">
        <w:rPr>
          <w:rFonts w:ascii="Myriad Pro" w:hAnsi="Myriad Pro"/>
          <w:sz w:val="24"/>
          <w:szCs w:val="24"/>
          <w:lang w:val="es-ES"/>
        </w:rPr>
        <w:t xml:space="preserve">chas reglas con las penales. Según Hassemer (1995b, p. 87), los </w:t>
      </w:r>
      <w:r w:rsidRPr="00C124A4">
        <w:rPr>
          <w:rFonts w:ascii="Myriad Pro" w:hAnsi="Myriad Pro"/>
          <w:sz w:val="24"/>
          <w:szCs w:val="24"/>
          <w:lang w:val="es-ES"/>
        </w:rPr>
        <w:lastRenderedPageBreak/>
        <w:t>ámbitos profesionales deben gozar de la presunción de que sus regulaciones prof</w:t>
      </w:r>
      <w:r w:rsidRPr="00C124A4">
        <w:rPr>
          <w:rFonts w:ascii="Myriad Pro" w:hAnsi="Myriad Pro"/>
          <w:sz w:val="24"/>
          <w:szCs w:val="24"/>
          <w:lang w:val="es-ES"/>
        </w:rPr>
        <w:t>e</w:t>
      </w:r>
      <w:r w:rsidRPr="00C124A4">
        <w:rPr>
          <w:rFonts w:ascii="Myriad Pro" w:hAnsi="Myriad Pro"/>
          <w:sz w:val="24"/>
          <w:szCs w:val="24"/>
          <w:lang w:val="es-ES"/>
        </w:rPr>
        <w:t>sionales se encuentran conforme a la regulación penal y que, en algunos casos y bajo determinadas circun</w:t>
      </w:r>
      <w:r w:rsidRPr="00C124A4">
        <w:rPr>
          <w:rFonts w:ascii="Myriad Pro" w:hAnsi="Myriad Pro"/>
          <w:sz w:val="24"/>
          <w:szCs w:val="24"/>
          <w:lang w:val="es-ES"/>
        </w:rPr>
        <w:t>s</w:t>
      </w:r>
      <w:r w:rsidRPr="00C124A4">
        <w:rPr>
          <w:rFonts w:ascii="Myriad Pro" w:hAnsi="Myriad Pro"/>
          <w:sz w:val="24"/>
          <w:szCs w:val="24"/>
          <w:lang w:val="es-ES"/>
        </w:rPr>
        <w:t>tancias, dicha presunción puede ser derrotada.</w:t>
      </w:r>
    </w:p>
    <w:p w14:paraId="32E5D89C" w14:textId="77777777" w:rsidR="00C124A4" w:rsidRPr="00C124A4" w:rsidRDefault="00C124A4" w:rsidP="00C124A4">
      <w:pPr>
        <w:spacing w:before="200"/>
        <w:jc w:val="both"/>
        <w:rPr>
          <w:rFonts w:ascii="Myriad Pro" w:hAnsi="Myriad Pro"/>
          <w:sz w:val="24"/>
          <w:szCs w:val="24"/>
          <w:lang w:val="es-ES"/>
        </w:rPr>
      </w:pPr>
      <w:r w:rsidRPr="00C124A4">
        <w:rPr>
          <w:rFonts w:ascii="Myriad Pro" w:hAnsi="Myriad Pro"/>
          <w:sz w:val="24"/>
          <w:szCs w:val="24"/>
          <w:lang w:val="es-ES"/>
        </w:rPr>
        <w:tab/>
        <w:t xml:space="preserve">Una posición similar, ocupa el análisis de Philipowski (1983, pp. 142 y ss.) sobre la exclusión de la punibilidad de funcionarios de un banco en relación a una transferencia anónima de fondos al extranjero que es funcional a una evasión tributaria, dado que ellos han ceñido su conducta a las normas vigentes y, con ello, han actuado de forma socialmente adecuada y en el marco del riesgo permitido. Una línea cercana sigue Meyer-Arndt (1989, p. 287) cuando afirma que la acción del tercero no debe ser punible si su contribución se ajusta a la conducta del autor, en la medida que ella sea legal y </w:t>
      </w:r>
      <w:r w:rsidRPr="00C124A4">
        <w:rPr>
          <w:rFonts w:ascii="Myriad Pro" w:hAnsi="Myriad Pro"/>
          <w:sz w:val="24"/>
          <w:szCs w:val="24"/>
          <w:lang w:val="es-ES_tradnl"/>
        </w:rPr>
        <w:t>—</w:t>
      </w:r>
      <w:r w:rsidRPr="00C124A4">
        <w:rPr>
          <w:rFonts w:ascii="Myriad Pro" w:hAnsi="Myriad Pro"/>
          <w:sz w:val="24"/>
          <w:szCs w:val="24"/>
          <w:lang w:val="es-ES"/>
        </w:rPr>
        <w:t>más allá del posterior delito del autor principal</w:t>
      </w:r>
      <w:r w:rsidRPr="00C124A4">
        <w:rPr>
          <w:rFonts w:ascii="Myriad Pro" w:hAnsi="Myriad Pro"/>
          <w:sz w:val="24"/>
          <w:szCs w:val="24"/>
          <w:lang w:val="es-ES_tradnl"/>
        </w:rPr>
        <w:t>—</w:t>
      </w:r>
      <w:r w:rsidRPr="00C124A4">
        <w:rPr>
          <w:rFonts w:ascii="Myriad Pro" w:hAnsi="Myriad Pro"/>
          <w:sz w:val="24"/>
          <w:szCs w:val="24"/>
          <w:lang w:val="es-ES"/>
        </w:rPr>
        <w:t xml:space="preserve"> ella tenga un sentido económico, social o individual independiente.</w:t>
      </w:r>
    </w:p>
    <w:p w14:paraId="36B39FC8" w14:textId="77777777" w:rsidR="00C124A4" w:rsidRDefault="00C124A4" w:rsidP="00C124A4">
      <w:pPr>
        <w:spacing w:before="200"/>
        <w:jc w:val="both"/>
        <w:rPr>
          <w:rFonts w:ascii="Myriad Pro" w:hAnsi="Myriad Pro"/>
          <w:sz w:val="24"/>
          <w:szCs w:val="24"/>
          <w:lang w:val="es-ES"/>
        </w:rPr>
      </w:pPr>
      <w:r w:rsidRPr="00C124A4">
        <w:rPr>
          <w:rFonts w:ascii="Myriad Pro" w:hAnsi="Myriad Pro"/>
          <w:sz w:val="24"/>
          <w:szCs w:val="24"/>
          <w:lang w:val="es-ES"/>
        </w:rPr>
        <w:tab/>
        <w:t>Pese a que Hassemer intenta superar la indeterminación a través de la consideración a la preconstrucción de estos ámbitos especiales, dicho intento merece al menos dos críticas: (i) no resulta claro cómo se constituye la adecuación profesional. Hassemer se refiere a la preconstrucción normativa de los ámbitos profesionales. Sin embargo, es imprescindible formular una distinción entre normas propiamente tales y meras regularidades, dado que solo las normas pueden tener influencia sobre la valoración penal de una acción. Lo habitual no puede erigirse en un baremo de lo correcto (Amelung, 1999, p. 9 y ss.). (ii) La segunda objeción, se refiere al efecto que tiene la calificación de una acción como profesionalmente adecuada sobre su valor</w:t>
      </w:r>
      <w:r w:rsidRPr="00C124A4">
        <w:rPr>
          <w:rFonts w:ascii="Myriad Pro" w:hAnsi="Myriad Pro"/>
          <w:sz w:val="24"/>
          <w:szCs w:val="24"/>
          <w:lang w:val="es-ES"/>
        </w:rPr>
        <w:t>a</w:t>
      </w:r>
      <w:r w:rsidRPr="00C124A4">
        <w:rPr>
          <w:rFonts w:ascii="Myriad Pro" w:hAnsi="Myriad Pro"/>
          <w:sz w:val="24"/>
          <w:szCs w:val="24"/>
          <w:lang w:val="es-ES"/>
        </w:rPr>
        <w:t>ción como punible. Resulta dudoso que el cumplimiento de las reglas profesionales pueda tener el efecto de excluir la punibilidad de una conducta y, en caso de que ello efectivamente se sostenga, cómo podría ser legitimado dicho efecto. Para evaluar dicho efecto, deben ser hechas ulteriores distinciones sobre el tipo de normas a las que se hacen referencia, distinguiendo entre origen, jerarquía, función y contenido de las normas (Schurmann Opazo, 2020, p. 270 y ss.). Esta teoría, provoca especiales inseguridades desde que el efecto más interesante de ella no radicaría necesari</w:t>
      </w:r>
      <w:r w:rsidRPr="00C124A4">
        <w:rPr>
          <w:rFonts w:ascii="Myriad Pro" w:hAnsi="Myriad Pro"/>
          <w:sz w:val="24"/>
          <w:szCs w:val="24"/>
          <w:lang w:val="es-ES"/>
        </w:rPr>
        <w:t>a</w:t>
      </w:r>
      <w:r w:rsidRPr="00C124A4">
        <w:rPr>
          <w:rFonts w:ascii="Myriad Pro" w:hAnsi="Myriad Pro"/>
          <w:sz w:val="24"/>
          <w:szCs w:val="24"/>
          <w:lang w:val="es-ES"/>
        </w:rPr>
        <w:t>mente en la exclusión del injusto, sino que, en su relevancia procesal, esto es, en s</w:t>
      </w:r>
      <w:r w:rsidRPr="00C124A4">
        <w:rPr>
          <w:rFonts w:ascii="Myriad Pro" w:hAnsi="Myriad Pro"/>
          <w:sz w:val="24"/>
          <w:szCs w:val="24"/>
          <w:lang w:val="es-ES"/>
        </w:rPr>
        <w:t>e</w:t>
      </w:r>
      <w:r w:rsidRPr="00C124A4">
        <w:rPr>
          <w:rFonts w:ascii="Myriad Pro" w:hAnsi="Myriad Pro"/>
          <w:sz w:val="24"/>
          <w:szCs w:val="24"/>
          <w:lang w:val="es-ES"/>
        </w:rPr>
        <w:t>ñalizar a las normas y regularidades de los ámbitos profesionales como un ámbito relevante de investigación para los delitos desarrollados en dicho ámbito.  Pese a que esta “función indiciaria” puede ser útil, ello prueba que la teoría de la adecuación profesional no está en condiciones de fundar una impunidad general para las acci</w:t>
      </w:r>
      <w:r w:rsidRPr="00C124A4">
        <w:rPr>
          <w:rFonts w:ascii="Myriad Pro" w:hAnsi="Myriad Pro"/>
          <w:sz w:val="24"/>
          <w:szCs w:val="24"/>
          <w:lang w:val="es-ES"/>
        </w:rPr>
        <w:t>o</w:t>
      </w:r>
      <w:r w:rsidRPr="00C124A4">
        <w:rPr>
          <w:rFonts w:ascii="Myriad Pro" w:hAnsi="Myriad Pro"/>
          <w:sz w:val="24"/>
          <w:szCs w:val="24"/>
          <w:lang w:val="es-ES"/>
        </w:rPr>
        <w:t>nes neutrales (Amelung, 1999, p. 11), sino que solo de ofrecer una senda de invest</w:t>
      </w:r>
      <w:r w:rsidRPr="00C124A4">
        <w:rPr>
          <w:rFonts w:ascii="Myriad Pro" w:hAnsi="Myriad Pro"/>
          <w:sz w:val="24"/>
          <w:szCs w:val="24"/>
          <w:lang w:val="es-ES"/>
        </w:rPr>
        <w:t>i</w:t>
      </w:r>
      <w:r w:rsidRPr="00C124A4">
        <w:rPr>
          <w:rFonts w:ascii="Myriad Pro" w:hAnsi="Myriad Pro"/>
          <w:sz w:val="24"/>
          <w:szCs w:val="24"/>
          <w:lang w:val="es-ES"/>
        </w:rPr>
        <w:t>gación normativa a favor de ella (Otto, 2001, p. 436).</w:t>
      </w:r>
    </w:p>
    <w:p w14:paraId="017E37FA" w14:textId="77777777" w:rsidR="006A7540" w:rsidRPr="00C124A4" w:rsidRDefault="006A7540" w:rsidP="006A7540">
      <w:pPr>
        <w:spacing w:after="0" w:line="240" w:lineRule="auto"/>
        <w:jc w:val="both"/>
        <w:rPr>
          <w:rFonts w:ascii="Myriad Pro" w:hAnsi="Myriad Pro"/>
          <w:sz w:val="24"/>
          <w:szCs w:val="24"/>
          <w:lang w:val="es-ES"/>
        </w:rPr>
      </w:pPr>
    </w:p>
    <w:p w14:paraId="7B971E95" w14:textId="16CA793F" w:rsidR="00C124A4" w:rsidRPr="006A7540" w:rsidRDefault="00C124A4" w:rsidP="006A7540">
      <w:pPr>
        <w:spacing w:after="0" w:line="240" w:lineRule="auto"/>
        <w:jc w:val="center"/>
        <w:rPr>
          <w:rFonts w:ascii="Myriad Pro" w:hAnsi="Myriad Pro"/>
          <w:b/>
        </w:rPr>
      </w:pPr>
      <w:r w:rsidRPr="006A7540">
        <w:rPr>
          <w:rFonts w:ascii="Myriad Pro" w:hAnsi="Myriad Pro"/>
          <w:b/>
          <w:lang w:val="es-ES"/>
        </w:rPr>
        <w:t xml:space="preserve">1.1.3. </w:t>
      </w:r>
      <w:r w:rsidRPr="006A7540">
        <w:rPr>
          <w:rFonts w:ascii="Myriad Pro" w:hAnsi="Myriad Pro"/>
          <w:b/>
        </w:rPr>
        <w:t>Restricción objetiva de la punibilidad a una “relación de sentido delictiva”</w:t>
      </w:r>
    </w:p>
    <w:p w14:paraId="623618B5" w14:textId="77777777" w:rsidR="006A7540" w:rsidRDefault="006A7540" w:rsidP="006A7540">
      <w:pPr>
        <w:spacing w:after="0" w:line="240" w:lineRule="auto"/>
        <w:jc w:val="both"/>
        <w:rPr>
          <w:rFonts w:ascii="Myriad Pro" w:hAnsi="Myriad Pro"/>
          <w:sz w:val="24"/>
          <w:szCs w:val="24"/>
          <w:lang w:val="es-ES"/>
        </w:rPr>
      </w:pPr>
    </w:p>
    <w:p w14:paraId="14E362FE" w14:textId="513F2238" w:rsidR="00C124A4" w:rsidRPr="00C124A4" w:rsidRDefault="00524326" w:rsidP="00C124A4">
      <w:pPr>
        <w:spacing w:before="200"/>
        <w:jc w:val="both"/>
        <w:rPr>
          <w:rFonts w:ascii="Myriad Pro" w:hAnsi="Myriad Pro"/>
          <w:sz w:val="24"/>
          <w:szCs w:val="24"/>
          <w:lang w:val="es-ES"/>
        </w:rPr>
      </w:pPr>
      <w:r>
        <w:rPr>
          <w:rFonts w:ascii="Myriad Pro" w:hAnsi="Myriad Pro"/>
          <w:sz w:val="24"/>
          <w:szCs w:val="24"/>
          <w:lang w:val="es-ES"/>
        </w:rPr>
        <w:lastRenderedPageBreak/>
        <w:tab/>
      </w:r>
      <w:r w:rsidR="00C124A4" w:rsidRPr="00C124A4">
        <w:rPr>
          <w:rFonts w:ascii="Myriad Pro" w:hAnsi="Myriad Pro"/>
          <w:sz w:val="24"/>
          <w:szCs w:val="24"/>
          <w:lang w:val="es-ES"/>
        </w:rPr>
        <w:t>El criterio de la “relación de sentido delictivo” del acto se encuentra aquí ref</w:t>
      </w:r>
      <w:r w:rsidR="00C124A4" w:rsidRPr="00C124A4">
        <w:rPr>
          <w:rFonts w:ascii="Myriad Pro" w:hAnsi="Myriad Pro"/>
          <w:sz w:val="24"/>
          <w:szCs w:val="24"/>
          <w:lang w:val="es-ES"/>
        </w:rPr>
        <w:t>e</w:t>
      </w:r>
      <w:r w:rsidR="00C124A4" w:rsidRPr="00C124A4">
        <w:rPr>
          <w:rFonts w:ascii="Myriad Pro" w:hAnsi="Myriad Pro"/>
          <w:sz w:val="24"/>
          <w:szCs w:val="24"/>
          <w:lang w:val="es-ES"/>
        </w:rPr>
        <w:t>rido únicamente a su fase objetiva, y debe ser diferenciado de la teoría mixta (objet</w:t>
      </w:r>
      <w:r w:rsidR="00C124A4" w:rsidRPr="00C124A4">
        <w:rPr>
          <w:rFonts w:ascii="Myriad Pro" w:hAnsi="Myriad Pro"/>
          <w:sz w:val="24"/>
          <w:szCs w:val="24"/>
          <w:lang w:val="es-ES"/>
        </w:rPr>
        <w:t>i</w:t>
      </w:r>
      <w:r w:rsidR="00C124A4" w:rsidRPr="00C124A4">
        <w:rPr>
          <w:rFonts w:ascii="Myriad Pro" w:hAnsi="Myriad Pro"/>
          <w:sz w:val="24"/>
          <w:szCs w:val="24"/>
          <w:lang w:val="es-ES"/>
        </w:rPr>
        <w:t>va-subjetiva) de Roxin, la cual utiliza la misma expresión</w:t>
      </w:r>
      <w:r w:rsidR="00C124A4" w:rsidRPr="00C124A4">
        <w:rPr>
          <w:rStyle w:val="Refdenotaalpie"/>
          <w:rFonts w:ascii="Myriad Pro" w:hAnsi="Myriad Pro"/>
          <w:sz w:val="24"/>
          <w:szCs w:val="24"/>
          <w:lang w:val="es-ES"/>
        </w:rPr>
        <w:footnoteReference w:id="14"/>
      </w:r>
      <w:r w:rsidR="00C124A4" w:rsidRPr="00C124A4">
        <w:rPr>
          <w:rFonts w:ascii="Myriad Pro" w:hAnsi="Myriad Pro"/>
          <w:sz w:val="24"/>
          <w:szCs w:val="24"/>
          <w:lang w:val="es-ES"/>
        </w:rPr>
        <w:t xml:space="preserve">. Una explicación suficiente se encuentra en </w:t>
      </w:r>
      <w:r w:rsidR="00C124A4" w:rsidRPr="00C124A4">
        <w:rPr>
          <w:rFonts w:ascii="Myriad Pro" w:hAnsi="Myriad Pro"/>
          <w:sz w:val="24"/>
          <w:szCs w:val="24"/>
        </w:rPr>
        <w:t>Frisch</w:t>
      </w:r>
      <w:r w:rsidR="00C124A4" w:rsidRPr="00C124A4">
        <w:rPr>
          <w:rFonts w:ascii="Myriad Pro" w:hAnsi="Myriad Pro" w:cs="Calibri (Cuerpo en alfabeto com"/>
          <w:smallCaps/>
          <w:sz w:val="24"/>
          <w:szCs w:val="24"/>
        </w:rPr>
        <w:t xml:space="preserve"> </w:t>
      </w:r>
      <w:r w:rsidR="00C124A4" w:rsidRPr="00C124A4">
        <w:rPr>
          <w:rFonts w:ascii="Myriad Pro" w:hAnsi="Myriad Pro"/>
          <w:sz w:val="24"/>
          <w:szCs w:val="24"/>
        </w:rPr>
        <w:t>(1988, p. 298).</w:t>
      </w:r>
    </w:p>
    <w:p w14:paraId="72595940" w14:textId="77777777" w:rsidR="00C124A4" w:rsidRPr="00C124A4" w:rsidRDefault="00C124A4" w:rsidP="00C124A4">
      <w:pPr>
        <w:pStyle w:val="Textonotapie"/>
        <w:spacing w:line="276" w:lineRule="auto"/>
        <w:contextualSpacing/>
        <w:jc w:val="both"/>
        <w:rPr>
          <w:rFonts w:ascii="Garamond" w:hAnsi="Garamond"/>
          <w:sz w:val="24"/>
          <w:szCs w:val="24"/>
          <w:lang w:val="es-ES"/>
        </w:rPr>
      </w:pPr>
      <w:r w:rsidRPr="00C124A4">
        <w:rPr>
          <w:rFonts w:ascii="Myriad Pro" w:hAnsi="Myriad Pro"/>
          <w:sz w:val="24"/>
          <w:szCs w:val="24"/>
          <w:lang w:val="es-ES"/>
        </w:rPr>
        <w:tab/>
        <w:t>En la búsqueda de la determinación del comportamiento típico que funde el injusto de acción, y con ello pueda delimitar la prestación de ayuda lícita de la ilícita, Frisch (1988, p. 295 y ss.) y en términos similares</w:t>
      </w:r>
      <w:r w:rsidRPr="00C124A4">
        <w:rPr>
          <w:rFonts w:ascii="Myriad Pro" w:hAnsi="Myriad Pro" w:cs="Calibri (Cuerpo en alfabeto com"/>
          <w:smallCaps/>
          <w:sz w:val="24"/>
          <w:szCs w:val="24"/>
        </w:rPr>
        <w:t xml:space="preserve"> </w:t>
      </w:r>
      <w:r w:rsidRPr="00C124A4">
        <w:rPr>
          <w:rFonts w:ascii="Myriad Pro" w:hAnsi="Myriad Pro"/>
          <w:sz w:val="24"/>
          <w:szCs w:val="24"/>
        </w:rPr>
        <w:t>Kudlich</w:t>
      </w:r>
      <w:r w:rsidRPr="00C124A4">
        <w:rPr>
          <w:rFonts w:ascii="Myriad Pro" w:hAnsi="Myriad Pro" w:cs="Calibri (Cuerpo en alfabeto com"/>
          <w:smallCaps/>
          <w:sz w:val="24"/>
          <w:szCs w:val="24"/>
        </w:rPr>
        <w:t xml:space="preserve"> (2004, </w:t>
      </w:r>
      <w:r w:rsidRPr="00C124A4">
        <w:rPr>
          <w:rFonts w:ascii="Myriad Pro" w:hAnsi="Myriad Pro"/>
          <w:sz w:val="24"/>
          <w:szCs w:val="24"/>
        </w:rPr>
        <w:t>p</w:t>
      </w:r>
      <w:r w:rsidRPr="00C124A4">
        <w:rPr>
          <w:rFonts w:ascii="Myriad Pro" w:hAnsi="Myriad Pro" w:cs="Calibri (Cuerpo en alfabeto com"/>
          <w:smallCaps/>
          <w:sz w:val="24"/>
          <w:szCs w:val="24"/>
        </w:rPr>
        <w:t xml:space="preserve">. </w:t>
      </w:r>
      <w:r w:rsidRPr="00C124A4">
        <w:rPr>
          <w:rFonts w:ascii="Myriad Pro" w:hAnsi="Myriad Pro"/>
          <w:sz w:val="24"/>
          <w:szCs w:val="24"/>
        </w:rPr>
        <w:t>99 y ss.)</w:t>
      </w:r>
      <w:r w:rsidRPr="00C124A4">
        <w:rPr>
          <w:rFonts w:ascii="Myriad Pro" w:hAnsi="Myriad Pro"/>
          <w:sz w:val="24"/>
          <w:szCs w:val="24"/>
          <w:lang w:val="es-ES"/>
        </w:rPr>
        <w:t xml:space="preserve"> sostienen que una acción de apoyo debe exhibir una suficiente y clara relación de sentido delictiva –desde una perspectiva objetiva </w:t>
      </w:r>
      <w:r w:rsidRPr="00C124A4">
        <w:rPr>
          <w:rFonts w:ascii="Myriad Pro" w:hAnsi="Myriad Pro"/>
          <w:i/>
          <w:sz w:val="24"/>
          <w:szCs w:val="24"/>
          <w:lang w:val="es-ES"/>
        </w:rPr>
        <w:t>ex ante</w:t>
      </w:r>
      <w:r w:rsidRPr="00C124A4">
        <w:rPr>
          <w:rFonts w:ascii="Myriad Pro" w:hAnsi="Myriad Pro"/>
          <w:sz w:val="24"/>
          <w:szCs w:val="24"/>
          <w:lang w:val="es-ES"/>
        </w:rPr>
        <w:t xml:space="preserve">– para que pueda ser afirmada su punibilidad. Con dicho requisito Frisch (1988) destaca la relevancia del efecto de filtro propio de la imputación objetiva, desde que la referida relación destacaría que la creación o el aumento del riesgo </w:t>
      </w:r>
      <w:proofErr w:type="gramStart"/>
      <w:r w:rsidRPr="00C124A4">
        <w:rPr>
          <w:rFonts w:ascii="Myriad Pro" w:hAnsi="Myriad Pro"/>
          <w:sz w:val="24"/>
          <w:szCs w:val="24"/>
          <w:lang w:val="es-ES"/>
        </w:rPr>
        <w:t>debe</w:t>
      </w:r>
      <w:proofErr w:type="gramEnd"/>
      <w:r w:rsidRPr="00C124A4">
        <w:rPr>
          <w:rFonts w:ascii="Myriad Pro" w:hAnsi="Myriad Pro"/>
          <w:sz w:val="24"/>
          <w:szCs w:val="24"/>
          <w:lang w:val="es-ES"/>
        </w:rPr>
        <w:t xml:space="preserve"> ser también desaprobado</w:t>
      </w:r>
      <w:r w:rsidRPr="00C124A4">
        <w:rPr>
          <w:rFonts w:ascii="Garamond" w:hAnsi="Garamond"/>
          <w:sz w:val="24"/>
          <w:szCs w:val="24"/>
          <w:lang w:val="es-ES"/>
        </w:rPr>
        <w:t xml:space="preserve"> </w:t>
      </w:r>
      <w:r w:rsidRPr="00C124A4">
        <w:rPr>
          <w:rFonts w:ascii="Myriad Pro" w:hAnsi="Myriad Pro"/>
          <w:sz w:val="24"/>
          <w:szCs w:val="24"/>
          <w:lang w:val="es-ES"/>
        </w:rPr>
        <w:t xml:space="preserve">legalmente. </w:t>
      </w:r>
      <w:r w:rsidRPr="00C124A4">
        <w:rPr>
          <w:rFonts w:ascii="Myriad Pro" w:hAnsi="Myriad Pro" w:cs="Times New Roman (Cuerpo en alfa"/>
          <w:iCs/>
          <w:sz w:val="24"/>
          <w:szCs w:val="24"/>
          <w:lang w:val="es-ES"/>
        </w:rPr>
        <w:t>Robles Planas</w:t>
      </w:r>
      <w:r w:rsidRPr="00C124A4">
        <w:rPr>
          <w:rFonts w:ascii="Myriad Pro" w:hAnsi="Myriad Pro"/>
          <w:sz w:val="24"/>
          <w:szCs w:val="24"/>
          <w:lang w:val="es-ES"/>
        </w:rPr>
        <w:t xml:space="preserve"> (2003, p. 291 y ss.) reflexiona desde el mismo punto de vista que </w:t>
      </w:r>
      <w:r w:rsidRPr="00C124A4">
        <w:rPr>
          <w:rFonts w:ascii="Myriad Pro" w:hAnsi="Myriad Pro" w:cs="Times New Roman (Cuerpo en alfa"/>
          <w:sz w:val="24"/>
          <w:szCs w:val="24"/>
          <w:lang w:val="es-ES"/>
        </w:rPr>
        <w:t>Frisch</w:t>
      </w:r>
      <w:r w:rsidRPr="00C124A4">
        <w:rPr>
          <w:rFonts w:ascii="Myriad Pro" w:hAnsi="Myriad Pro"/>
          <w:sz w:val="24"/>
          <w:szCs w:val="24"/>
          <w:lang w:val="es-ES"/>
        </w:rPr>
        <w:t xml:space="preserve"> y afi</w:t>
      </w:r>
      <w:r w:rsidRPr="00C124A4">
        <w:rPr>
          <w:rFonts w:ascii="Myriad Pro" w:hAnsi="Myriad Pro"/>
          <w:sz w:val="24"/>
          <w:szCs w:val="24"/>
          <w:lang w:val="es-ES"/>
        </w:rPr>
        <w:t>r</w:t>
      </w:r>
      <w:r w:rsidRPr="00C124A4">
        <w:rPr>
          <w:rFonts w:ascii="Myriad Pro" w:hAnsi="Myriad Pro"/>
          <w:sz w:val="24"/>
          <w:szCs w:val="24"/>
          <w:lang w:val="es-ES"/>
        </w:rPr>
        <w:t>ma que el comportamiento típico del cómplice se encuentra contenido en el riesgo delictivo interno.  Ese riesgo delictivo interno puede ser identificado a través de dos criterios: (i) la lesión de deberes (de garantía) preexistentes; (ii) la configuración del comportamiento como parte del hecho.  El problema fundamental radica en el s</w:t>
      </w:r>
      <w:r w:rsidRPr="00C124A4">
        <w:rPr>
          <w:rFonts w:ascii="Myriad Pro" w:hAnsi="Myriad Pro"/>
          <w:sz w:val="24"/>
          <w:szCs w:val="24"/>
          <w:lang w:val="es-ES"/>
        </w:rPr>
        <w:t>e</w:t>
      </w:r>
      <w:r w:rsidRPr="00C124A4">
        <w:rPr>
          <w:rFonts w:ascii="Myriad Pro" w:hAnsi="Myriad Pro"/>
          <w:sz w:val="24"/>
          <w:szCs w:val="24"/>
          <w:lang w:val="es-ES"/>
        </w:rPr>
        <w:t>gundo criterio, ya que confirma que la imputación del delito a título de complicidad es necesariamente contextual y referida a la acción principal del autor. Hurd (2001, p. 319 y ss.) parece tener una comprensión similar de los deberes del partícipe, al afi</w:t>
      </w:r>
      <w:r w:rsidRPr="00C124A4">
        <w:rPr>
          <w:rFonts w:ascii="Myriad Pro" w:hAnsi="Myriad Pro"/>
          <w:sz w:val="24"/>
          <w:szCs w:val="24"/>
          <w:lang w:val="es-ES"/>
        </w:rPr>
        <w:t>r</w:t>
      </w:r>
      <w:r w:rsidRPr="00C124A4">
        <w:rPr>
          <w:rFonts w:ascii="Myriad Pro" w:hAnsi="Myriad Pro"/>
          <w:sz w:val="24"/>
          <w:szCs w:val="24"/>
          <w:lang w:val="es-ES"/>
        </w:rPr>
        <w:t>mar que no existe un deber moral de evitar prestarle ayuda a otro que se pueda fo</w:t>
      </w:r>
      <w:r w:rsidRPr="00C124A4">
        <w:rPr>
          <w:rFonts w:ascii="Myriad Pro" w:hAnsi="Myriad Pro"/>
          <w:sz w:val="24"/>
          <w:szCs w:val="24"/>
          <w:lang w:val="es-ES"/>
        </w:rPr>
        <w:t>r</w:t>
      </w:r>
      <w:r w:rsidRPr="00C124A4">
        <w:rPr>
          <w:rFonts w:ascii="Myriad Pro" w:hAnsi="Myriad Pro"/>
          <w:sz w:val="24"/>
          <w:szCs w:val="24"/>
          <w:lang w:val="es-ES"/>
        </w:rPr>
        <w:t>mular a partir de normas directas o primarias,</w:t>
      </w:r>
      <w:r w:rsidRPr="00C124A4">
        <w:rPr>
          <w:rFonts w:ascii="Myriad Pro" w:hAnsi="Myriad Pro"/>
          <w:sz w:val="24"/>
          <w:szCs w:val="24"/>
        </w:rPr>
        <w:t xml:space="preserve"> ella califica a la prohibición tanto de acciones neutrales como profesionales como propio de un sistema represor (no l</w:t>
      </w:r>
      <w:r w:rsidRPr="00C124A4">
        <w:rPr>
          <w:rFonts w:ascii="Myriad Pro" w:hAnsi="Myriad Pro"/>
          <w:sz w:val="24"/>
          <w:szCs w:val="24"/>
        </w:rPr>
        <w:t>i</w:t>
      </w:r>
      <w:r w:rsidRPr="00C124A4">
        <w:rPr>
          <w:rFonts w:ascii="Myriad Pro" w:hAnsi="Myriad Pro"/>
          <w:sz w:val="24"/>
          <w:szCs w:val="24"/>
        </w:rPr>
        <w:t>bre)</w:t>
      </w:r>
      <w:r w:rsidRPr="00C124A4">
        <w:rPr>
          <w:rFonts w:ascii="Myriad Pro" w:hAnsi="Myriad Pro"/>
          <w:bCs/>
          <w:sz w:val="24"/>
          <w:szCs w:val="24"/>
        </w:rPr>
        <w:t>.</w:t>
      </w:r>
      <w:r w:rsidRPr="00C124A4">
        <w:rPr>
          <w:rFonts w:ascii="Myriad Pro" w:hAnsi="Myriad Pro"/>
          <w:sz w:val="24"/>
          <w:szCs w:val="24"/>
          <w:lang w:val="es-ES"/>
        </w:rPr>
        <w:t xml:space="preserve"> Dicha constitución del injusto puede ser fundada a través de relaciones con se</w:t>
      </w:r>
      <w:r w:rsidRPr="00C124A4">
        <w:rPr>
          <w:rFonts w:ascii="Myriad Pro" w:hAnsi="Myriad Pro"/>
          <w:sz w:val="24"/>
          <w:szCs w:val="24"/>
          <w:lang w:val="es-ES"/>
        </w:rPr>
        <w:t>n</w:t>
      </w:r>
      <w:r w:rsidRPr="00C124A4">
        <w:rPr>
          <w:rFonts w:ascii="Myriad Pro" w:hAnsi="Myriad Pro"/>
          <w:sz w:val="24"/>
          <w:szCs w:val="24"/>
          <w:lang w:val="es-ES"/>
        </w:rPr>
        <w:t>tido delictivo, deberes de garante, deberes de solidaridad –</w:t>
      </w:r>
      <w:r w:rsidRPr="00C124A4">
        <w:rPr>
          <w:rFonts w:ascii="Myriad Pro" w:hAnsi="Myriad Pro" w:cs="Times New Roman"/>
          <w:iCs/>
          <w:sz w:val="24"/>
          <w:szCs w:val="24"/>
          <w:lang w:val="es-ES"/>
        </w:rPr>
        <w:t>Wohlers (2000, p. 173)</w:t>
      </w:r>
      <w:r w:rsidRPr="00C124A4">
        <w:rPr>
          <w:rFonts w:ascii="Myriad Pro" w:hAnsi="Myriad Pro" w:cs="Times New Roman"/>
          <w:sz w:val="24"/>
          <w:szCs w:val="24"/>
          <w:lang w:val="es-ES"/>
        </w:rPr>
        <w:t xml:space="preserve"> esboza una solución con similares criterios, esto son, deberes de solidaridad y de garantía de protección–</w:t>
      </w:r>
      <w:r w:rsidRPr="00C124A4">
        <w:rPr>
          <w:rFonts w:ascii="Myriad Pro" w:hAnsi="Myriad Pro"/>
          <w:sz w:val="24"/>
          <w:szCs w:val="24"/>
          <w:lang w:val="es-ES"/>
        </w:rPr>
        <w:t xml:space="preserve">, y reglas y principios del estado de necesidad. Y esos fundamentos, a su vez, deben ser ponderados con otros principios penales, como el de </w:t>
      </w:r>
      <w:r w:rsidRPr="00C124A4">
        <w:rPr>
          <w:rFonts w:ascii="Myriad Pro" w:hAnsi="Myriad Pro"/>
          <w:i/>
          <w:sz w:val="24"/>
          <w:szCs w:val="24"/>
          <w:lang w:val="es-ES"/>
        </w:rPr>
        <w:t>ultima ratio</w:t>
      </w:r>
      <w:r w:rsidRPr="00C124A4">
        <w:rPr>
          <w:rFonts w:ascii="Myriad Pro" w:hAnsi="Myriad Pro"/>
          <w:sz w:val="24"/>
          <w:szCs w:val="24"/>
          <w:lang w:val="es-ES"/>
        </w:rPr>
        <w:t xml:space="preserve"> y proporcionalidad, de modo de fundar una prohibición extraordinaria de la libertad de acción como la que supone sancionar una acción auxiliar o de apoyo como complicidad. Constituyen criterios relevantes para ello la exigencia de (i) una relación espacio-temporal estrecha con la lesión posterior y (ii) la adaptación de la acción de apoyo a los deseos del autor principal. Las actividades profesionales tienen a su favor la presunción de actuar conforme a Derecho, dado que ellas están integradas en el entramado social aceptado y, en ese sentido, la sanción penal de prestaci</w:t>
      </w:r>
      <w:r w:rsidRPr="00C124A4">
        <w:rPr>
          <w:rFonts w:ascii="Myriad Pro" w:hAnsi="Myriad Pro"/>
          <w:sz w:val="24"/>
          <w:szCs w:val="24"/>
          <w:lang w:val="es-ES"/>
        </w:rPr>
        <w:t>o</w:t>
      </w:r>
      <w:r w:rsidRPr="00C124A4">
        <w:rPr>
          <w:rFonts w:ascii="Myriad Pro" w:hAnsi="Myriad Pro"/>
          <w:sz w:val="24"/>
          <w:szCs w:val="24"/>
          <w:lang w:val="es-ES"/>
        </w:rPr>
        <w:t>nes cotidianas tendría una alta carga de legitimación (</w:t>
      </w:r>
      <w:r w:rsidRPr="00C124A4">
        <w:rPr>
          <w:rFonts w:ascii="Myriad Pro" w:hAnsi="Myriad Pro" w:cs="Times New Roman"/>
          <w:sz w:val="24"/>
          <w:szCs w:val="24"/>
          <w:lang w:val="es-ES"/>
        </w:rPr>
        <w:t xml:space="preserve">en este sentido también </w:t>
      </w:r>
      <w:r w:rsidRPr="00C124A4">
        <w:rPr>
          <w:rFonts w:ascii="Myriad Pro" w:hAnsi="Myriad Pro"/>
          <w:sz w:val="24"/>
          <w:szCs w:val="24"/>
        </w:rPr>
        <w:t xml:space="preserve">Seher, </w:t>
      </w:r>
      <w:r w:rsidRPr="00C124A4">
        <w:rPr>
          <w:rFonts w:ascii="Myriad Pro" w:hAnsi="Myriad Pro" w:cs="Times New Roman"/>
          <w:sz w:val="24"/>
          <w:szCs w:val="24"/>
          <w:lang w:val="es-ES"/>
        </w:rPr>
        <w:t>2009, p. 795).</w:t>
      </w:r>
      <w:r w:rsidRPr="00C124A4">
        <w:rPr>
          <w:rFonts w:ascii="Myriad Pro" w:hAnsi="Myriad Pro"/>
          <w:sz w:val="24"/>
          <w:szCs w:val="24"/>
        </w:rPr>
        <w:t xml:space="preserve"> </w:t>
      </w:r>
      <w:r w:rsidRPr="00C124A4">
        <w:rPr>
          <w:rFonts w:ascii="Myriad Pro" w:hAnsi="Myriad Pro"/>
          <w:sz w:val="24"/>
          <w:szCs w:val="24"/>
          <w:lang w:val="es-ES"/>
        </w:rPr>
        <w:t xml:space="preserve">Así, por medio de dichas consideraciones podría ser desarrollada una solución para el problema de la punibilidad de las acciones neutrales. En este sentido, Frisch (2002, p. 557) rechaza un aumento del riesgo suficiente cuando el autor podría procurarse la ayuda necesaria de forma legal </w:t>
      </w:r>
      <w:r w:rsidRPr="00C124A4">
        <w:rPr>
          <w:rFonts w:ascii="Myriad Pro" w:hAnsi="Myriad Pro"/>
          <w:sz w:val="24"/>
          <w:szCs w:val="24"/>
          <w:lang w:val="es-ES"/>
        </w:rPr>
        <w:lastRenderedPageBreak/>
        <w:t xml:space="preserve">previo a la fase de ejecución del delito, dado que dichas acciones conservan todavía de forma suficiente su sentido conforme a Derecho. </w:t>
      </w:r>
      <w:r w:rsidRPr="00C124A4">
        <w:rPr>
          <w:rFonts w:ascii="Myriad Pro" w:hAnsi="Myriad Pro" w:cs="Times New Roman"/>
          <w:iCs/>
          <w:sz w:val="24"/>
          <w:szCs w:val="24"/>
          <w:lang w:val="es-ES"/>
        </w:rPr>
        <w:t>Frisch</w:t>
      </w:r>
      <w:r w:rsidRPr="00C124A4">
        <w:rPr>
          <w:rFonts w:ascii="Myriad Pro" w:hAnsi="Myriad Pro" w:cs="Times New Roman"/>
          <w:sz w:val="24"/>
          <w:szCs w:val="24"/>
          <w:lang w:val="es-ES"/>
        </w:rPr>
        <w:t xml:space="preserve"> (1988, pp. 296 y 297) utiliza aquí el ejemplo -utilizado por Roxin y descrito previamente- de quien entrega materiales para una empresa que produce infringiendo las normas medioambientales</w:t>
      </w:r>
      <w:r w:rsidRPr="00C124A4">
        <w:rPr>
          <w:rStyle w:val="Refdenotaalpie"/>
          <w:rFonts w:ascii="Myriad Pro" w:hAnsi="Myriad Pro" w:cs="Times New Roman"/>
          <w:sz w:val="24"/>
          <w:szCs w:val="24"/>
          <w:lang w:val="es-ES"/>
        </w:rPr>
        <w:footnoteReference w:id="15"/>
      </w:r>
      <w:r w:rsidRPr="00C124A4">
        <w:rPr>
          <w:rFonts w:ascii="Myriad Pro" w:hAnsi="Myriad Pro" w:cs="Times New Roman"/>
          <w:sz w:val="24"/>
          <w:szCs w:val="24"/>
          <w:lang w:val="es-ES"/>
        </w:rPr>
        <w:t xml:space="preserve">. </w:t>
      </w:r>
      <w:r w:rsidRPr="00C124A4">
        <w:rPr>
          <w:rFonts w:ascii="Myriad Pro" w:hAnsi="Myriad Pro"/>
          <w:sz w:val="24"/>
          <w:szCs w:val="24"/>
          <w:lang w:val="es-ES"/>
        </w:rPr>
        <w:t xml:space="preserve">La excepción proviene aquí de eventuales deberes, tanto de garantía como de solidaridad de acuerdo con </w:t>
      </w:r>
      <w:r w:rsidRPr="00C124A4">
        <w:rPr>
          <w:rFonts w:ascii="Myriad Pro" w:hAnsi="Myriad Pro"/>
          <w:sz w:val="24"/>
          <w:szCs w:val="24"/>
          <w:lang w:val="es-ES_tradnl"/>
        </w:rPr>
        <w:t>—</w:t>
      </w:r>
      <w:r w:rsidRPr="00C124A4">
        <w:rPr>
          <w:rFonts w:ascii="Myriad Pro" w:hAnsi="Myriad Pro"/>
          <w:sz w:val="24"/>
          <w:szCs w:val="24"/>
          <w:lang w:val="es-ES"/>
        </w:rPr>
        <w:t>por ejemplo</w:t>
      </w:r>
      <w:r w:rsidRPr="00C124A4">
        <w:rPr>
          <w:rFonts w:ascii="Myriad Pro" w:hAnsi="Myriad Pro"/>
          <w:sz w:val="24"/>
          <w:szCs w:val="24"/>
          <w:lang w:val="es-ES_tradnl"/>
        </w:rPr>
        <w:t>—</w:t>
      </w:r>
      <w:r w:rsidRPr="00C124A4">
        <w:rPr>
          <w:rFonts w:ascii="Myriad Pro" w:hAnsi="Myriad Pro"/>
          <w:sz w:val="24"/>
          <w:szCs w:val="24"/>
          <w:lang w:val="es-ES"/>
        </w:rPr>
        <w:t xml:space="preserve"> los parágrafos</w:t>
      </w:r>
      <w:r w:rsidRPr="00C124A4">
        <w:rPr>
          <w:rFonts w:ascii="Myriad Pro" w:hAnsi="Myriad Pro"/>
          <w:bCs/>
          <w:sz w:val="24"/>
          <w:szCs w:val="24"/>
        </w:rPr>
        <w:t xml:space="preserve"> §§ </w:t>
      </w:r>
      <w:r w:rsidRPr="00C124A4">
        <w:rPr>
          <w:rFonts w:ascii="Myriad Pro" w:hAnsi="Myriad Pro"/>
          <w:sz w:val="24"/>
          <w:szCs w:val="24"/>
        </w:rPr>
        <w:t>138, 323c StGB (1871)</w:t>
      </w:r>
      <w:r w:rsidRPr="00C124A4">
        <w:rPr>
          <w:rFonts w:ascii="Myriad Pro" w:hAnsi="Myriad Pro"/>
          <w:sz w:val="24"/>
          <w:szCs w:val="24"/>
          <w:lang w:val="es-ES"/>
        </w:rPr>
        <w:t>. Una regla adicional de creación de riesgo no permitido en el sistema de Frisch (1988, p. 331 y 332.) radica en la pre</w:t>
      </w:r>
      <w:r w:rsidRPr="00C124A4">
        <w:rPr>
          <w:rFonts w:ascii="Myriad Pro" w:hAnsi="Myriad Pro"/>
          <w:sz w:val="24"/>
          <w:szCs w:val="24"/>
          <w:lang w:val="es-ES"/>
        </w:rPr>
        <w:t>s</w:t>
      </w:r>
      <w:r w:rsidRPr="00C124A4">
        <w:rPr>
          <w:rFonts w:ascii="Myriad Pro" w:hAnsi="Myriad Pro"/>
          <w:sz w:val="24"/>
          <w:szCs w:val="24"/>
          <w:lang w:val="es-ES"/>
        </w:rPr>
        <w:t>tación de ayuda a través de la desviación de las reglas (extrapenales) de un determ</w:t>
      </w:r>
      <w:r w:rsidRPr="00C124A4">
        <w:rPr>
          <w:rFonts w:ascii="Myriad Pro" w:hAnsi="Myriad Pro"/>
          <w:sz w:val="24"/>
          <w:szCs w:val="24"/>
          <w:lang w:val="es-ES"/>
        </w:rPr>
        <w:t>i</w:t>
      </w:r>
      <w:r w:rsidRPr="00C124A4">
        <w:rPr>
          <w:rFonts w:ascii="Myriad Pro" w:hAnsi="Myriad Pro"/>
          <w:sz w:val="24"/>
          <w:szCs w:val="24"/>
          <w:lang w:val="es-ES"/>
        </w:rPr>
        <w:t xml:space="preserve">nado subsistema, como lo son por ejemplo las reglas tendientes a disminuir el riesgo de circulación de productos peligrosos como las armas. Sin embargo, no constituye necesariamente un comportamiento permitido la observación de dichas reglas, dado que ese sería el caso solo si el seguimiento de la regla constituye un medio idóneo para la reducción del riesgo. </w:t>
      </w:r>
      <w:bookmarkStart w:id="0" w:name="_Toc379814233"/>
      <w:bookmarkEnd w:id="0"/>
      <w:r w:rsidRPr="00C124A4">
        <w:rPr>
          <w:rFonts w:ascii="Myriad Pro" w:hAnsi="Myriad Pro"/>
          <w:sz w:val="24"/>
          <w:szCs w:val="24"/>
        </w:rPr>
        <w:t>Frisch (1988, pp. 90 y 91) analiza la función y efecto de esa regla, en esta parte su teoría, se asemeja a la exclusión de la punibilidad de los comportamientos profesionales</w:t>
      </w:r>
      <w:r w:rsidRPr="00C124A4">
        <w:rPr>
          <w:rStyle w:val="Refdenotaalpie"/>
          <w:rFonts w:ascii="Myriad Pro" w:hAnsi="Myriad Pro"/>
          <w:sz w:val="24"/>
          <w:szCs w:val="24"/>
        </w:rPr>
        <w:footnoteReference w:id="16"/>
      </w:r>
      <w:r w:rsidRPr="00C124A4">
        <w:rPr>
          <w:rFonts w:ascii="Myriad Pro" w:hAnsi="Myriad Pro"/>
          <w:sz w:val="24"/>
          <w:szCs w:val="24"/>
        </w:rPr>
        <w:t>. En un sentido similar entre nosotros, ver Contreras Chaimovich (2018, p. 397 y ss.).</w:t>
      </w:r>
    </w:p>
    <w:p w14:paraId="68C1E82E" w14:textId="77777777" w:rsidR="00C124A4" w:rsidRPr="00C124A4" w:rsidRDefault="00C124A4" w:rsidP="00C124A4">
      <w:pPr>
        <w:spacing w:before="200"/>
        <w:jc w:val="both"/>
        <w:rPr>
          <w:rFonts w:ascii="Garamond" w:hAnsi="Garamond"/>
          <w:sz w:val="24"/>
          <w:szCs w:val="24"/>
          <w:lang w:val="es-ES"/>
        </w:rPr>
      </w:pPr>
      <w:r w:rsidRPr="00C124A4">
        <w:rPr>
          <w:rFonts w:ascii="Myriad Pro" w:hAnsi="Myriad Pro"/>
          <w:sz w:val="24"/>
          <w:szCs w:val="24"/>
          <w:lang w:val="es-ES"/>
        </w:rPr>
        <w:tab/>
        <w:t>La principal objeción a la solución desarrollada por Frisch, radica en lo complejo de su construcción dependiente de excepciones y contra excepciones y cara</w:t>
      </w:r>
      <w:r w:rsidRPr="00C124A4">
        <w:rPr>
          <w:rFonts w:ascii="Myriad Pro" w:hAnsi="Myriad Pro"/>
          <w:sz w:val="24"/>
          <w:szCs w:val="24"/>
          <w:lang w:val="es-ES"/>
        </w:rPr>
        <w:t>c</w:t>
      </w:r>
      <w:r w:rsidRPr="00C124A4">
        <w:rPr>
          <w:rFonts w:ascii="Myriad Pro" w:hAnsi="Myriad Pro"/>
          <w:sz w:val="24"/>
          <w:szCs w:val="24"/>
          <w:lang w:val="es-ES"/>
        </w:rPr>
        <w:t xml:space="preserve">terizada por la apelación a distintos principios generales (Kudlich, 2004, p. 99 y ss.), es por ello que esta teoría tiene escasa operatividad en casos concretos. Esa compleja construcción proviene del proyecto normativo al que subyace: la determinación del comportamiento típico del cómplice, a través de su propia creación de riesgo no permitido. Sin embargo, es incorrecto valorar una contemplación aislada de la acción de complicidad, dado que su injusto se constituye precisamente en la conexión de la acción principal del autor, lo que determina el carácter accesorio de la complicidad. La comprensión del injusto del cómplice desde el punto de vista de la teoría de la imputación y la distinción entre acción principal y acción auxiliar, permite abandonar la noción de realización de riesgo jurídicamente desaprobado como requisito del injusto de acción. Para la distinción entre acción principal y acción auxiliar a partir de la interpretación de la acción como un comportamiento atributivamente intencional, </w:t>
      </w:r>
      <w:r w:rsidRPr="00C124A4">
        <w:rPr>
          <w:rFonts w:ascii="Myriad Pro" w:hAnsi="Myriad Pro"/>
          <w:sz w:val="24"/>
          <w:szCs w:val="24"/>
        </w:rPr>
        <w:t>ver Brennenstuhl (1975, p. 217 y ss.; 1980, p. 60 y ss.). Fundamental para comprender las implicancias de una correcta comprensión del carácter accesorio de la complicidad, ver Bloy</w:t>
      </w:r>
      <w:r w:rsidRPr="00C124A4">
        <w:rPr>
          <w:rFonts w:ascii="Myriad Pro" w:hAnsi="Myriad Pro"/>
          <w:sz w:val="24"/>
          <w:szCs w:val="24"/>
          <w:lang w:val="es-ES"/>
        </w:rPr>
        <w:t xml:space="preserve"> (1985, </w:t>
      </w:r>
      <w:r w:rsidRPr="00C124A4">
        <w:rPr>
          <w:rFonts w:ascii="Myriad Pro" w:hAnsi="Myriad Pro"/>
          <w:sz w:val="24"/>
          <w:szCs w:val="24"/>
        </w:rPr>
        <w:t>p.</w:t>
      </w:r>
      <w:r w:rsidRPr="00C124A4">
        <w:rPr>
          <w:rFonts w:ascii="Myriad Pro" w:hAnsi="Myriad Pro"/>
          <w:sz w:val="24"/>
          <w:szCs w:val="24"/>
          <w:lang w:val="es-ES"/>
        </w:rPr>
        <w:t xml:space="preserve"> </w:t>
      </w:r>
      <w:r w:rsidRPr="00C124A4">
        <w:rPr>
          <w:rFonts w:ascii="Myriad Pro" w:hAnsi="Myriad Pro"/>
          <w:bCs/>
          <w:sz w:val="24"/>
          <w:szCs w:val="24"/>
        </w:rPr>
        <w:t xml:space="preserve">290 y ss.), </w:t>
      </w:r>
      <w:r w:rsidRPr="00C124A4">
        <w:rPr>
          <w:rFonts w:ascii="Myriad Pro" w:hAnsi="Myriad Pro"/>
          <w:sz w:val="24"/>
          <w:szCs w:val="24"/>
        </w:rPr>
        <w:t>Vogel</w:t>
      </w:r>
      <w:r w:rsidRPr="00C124A4">
        <w:rPr>
          <w:rFonts w:ascii="Myriad Pro" w:hAnsi="Myriad Pro"/>
          <w:bCs/>
          <w:sz w:val="24"/>
          <w:szCs w:val="24"/>
        </w:rPr>
        <w:t xml:space="preserve"> (1993, p. 80 y ss.), y </w:t>
      </w:r>
      <w:r w:rsidRPr="00C124A4">
        <w:rPr>
          <w:rFonts w:ascii="Myriad Pro" w:hAnsi="Myriad Pro"/>
          <w:sz w:val="24"/>
          <w:szCs w:val="24"/>
        </w:rPr>
        <w:t xml:space="preserve">Kindhäuser </w:t>
      </w:r>
      <w:r w:rsidRPr="00C124A4">
        <w:rPr>
          <w:rFonts w:ascii="Myriad Pro" w:hAnsi="Myriad Pro"/>
          <w:sz w:val="24"/>
          <w:szCs w:val="24"/>
          <w:lang w:val="de-DE"/>
        </w:rPr>
        <w:t>(1997</w:t>
      </w:r>
      <w:r w:rsidRPr="00C124A4">
        <w:rPr>
          <w:rFonts w:ascii="Myriad Pro" w:hAnsi="Myriad Pro"/>
          <w:bCs/>
          <w:sz w:val="24"/>
          <w:szCs w:val="24"/>
          <w:lang w:val="de-DE"/>
        </w:rPr>
        <w:t xml:space="preserve">, pp. 272-275). </w:t>
      </w:r>
      <w:r w:rsidRPr="00C124A4">
        <w:rPr>
          <w:rFonts w:ascii="Myriad Pro" w:hAnsi="Myriad Pro"/>
          <w:sz w:val="24"/>
          <w:szCs w:val="24"/>
          <w:lang w:val="es-ES"/>
        </w:rPr>
        <w:t xml:space="preserve">Frisch se esfuerza en buscar una legitimación de la prohibición del comportamiento del cómplice (el cual normalmente se mueve dentro del ámbito conforme a Derecho) en </w:t>
      </w:r>
      <w:r w:rsidRPr="00C124A4">
        <w:rPr>
          <w:rFonts w:ascii="Myriad Pro" w:hAnsi="Myriad Pro"/>
          <w:sz w:val="24"/>
          <w:szCs w:val="24"/>
          <w:lang w:val="es-ES"/>
        </w:rPr>
        <w:lastRenderedPageBreak/>
        <w:t>principios generales, desconociendo que dicha legitimación proviene directamente de la prohibición prevista en el StGB (1871, § 27).</w:t>
      </w:r>
      <w:r w:rsidRPr="00C124A4">
        <w:rPr>
          <w:rFonts w:ascii="Garamond" w:hAnsi="Garamond"/>
          <w:sz w:val="24"/>
          <w:szCs w:val="24"/>
          <w:lang w:val="es-ES"/>
        </w:rPr>
        <w:t xml:space="preserve"> </w:t>
      </w:r>
    </w:p>
    <w:p w14:paraId="71F5172E" w14:textId="77777777" w:rsidR="00C124A4" w:rsidRDefault="00C124A4" w:rsidP="00C124A4">
      <w:pPr>
        <w:spacing w:before="200"/>
        <w:jc w:val="both"/>
        <w:rPr>
          <w:rFonts w:ascii="Myriad Pro" w:hAnsi="Myriad Pro"/>
          <w:sz w:val="24"/>
          <w:szCs w:val="24"/>
          <w:lang w:val="es-ES"/>
        </w:rPr>
      </w:pPr>
      <w:r w:rsidRPr="00C124A4">
        <w:rPr>
          <w:rFonts w:ascii="Myriad Pro" w:hAnsi="Myriad Pro"/>
          <w:sz w:val="24"/>
          <w:szCs w:val="24"/>
          <w:lang w:val="es-ES"/>
        </w:rPr>
        <w:tab/>
        <w:t>Otra crítica que merece la teoría, es la confusión conceptual en la que incurre entre los delitos de omisión propia previstos en los §§ 138, 323c StGB (1871) y la punibilidad del cómplice a partir del § 27 StGB (1871). Dichas normas responden a di</w:t>
      </w:r>
      <w:r w:rsidRPr="00C124A4">
        <w:rPr>
          <w:rFonts w:ascii="Myriad Pro" w:hAnsi="Myriad Pro"/>
          <w:sz w:val="24"/>
          <w:szCs w:val="24"/>
          <w:lang w:val="es-ES"/>
        </w:rPr>
        <w:t>s</w:t>
      </w:r>
      <w:r w:rsidRPr="00C124A4">
        <w:rPr>
          <w:rFonts w:ascii="Myriad Pro" w:hAnsi="Myriad Pro"/>
          <w:sz w:val="24"/>
          <w:szCs w:val="24"/>
          <w:lang w:val="es-ES"/>
        </w:rPr>
        <w:t xml:space="preserve">tintos fundamentos y se refieren a distintos tipos de comportamientos, los cuales pueden satisfacer simultáneamente y con completa independencia distintos supuestos de hecho previstos por las reglas de comportamiento, en contra de la apelación a reglas generales del estado de necesidad y solidaridad mínimas, aboga </w:t>
      </w:r>
      <w:r w:rsidRPr="00C124A4">
        <w:rPr>
          <w:rFonts w:ascii="Myriad Pro" w:hAnsi="Myriad Pro"/>
          <w:sz w:val="24"/>
          <w:szCs w:val="24"/>
        </w:rPr>
        <w:t xml:space="preserve">Kindhäuser (2007a, p. </w:t>
      </w:r>
      <w:r w:rsidRPr="00C124A4">
        <w:rPr>
          <w:rFonts w:ascii="Myriad Pro" w:hAnsi="Myriad Pro"/>
          <w:sz w:val="24"/>
          <w:szCs w:val="24"/>
          <w:lang w:val="es-ES"/>
        </w:rPr>
        <w:t>369 y ss.)</w:t>
      </w:r>
      <w:r w:rsidRPr="00C124A4">
        <w:rPr>
          <w:rFonts w:ascii="Myriad Pro" w:hAnsi="Myriad Pro"/>
          <w:sz w:val="24"/>
          <w:szCs w:val="24"/>
        </w:rPr>
        <w:t xml:space="preserve"> </w:t>
      </w:r>
      <w:r w:rsidRPr="00C124A4">
        <w:rPr>
          <w:rFonts w:ascii="Myriad Pro" w:hAnsi="Myriad Pro"/>
          <w:sz w:val="24"/>
          <w:szCs w:val="24"/>
          <w:lang w:val="es-ES"/>
        </w:rPr>
        <w:t>y agrega un ejemplo aclaratorio.</w:t>
      </w:r>
      <w:r w:rsidRPr="00C124A4">
        <w:rPr>
          <w:rFonts w:ascii="Myriad Pro" w:hAnsi="Myriad Pro"/>
          <w:sz w:val="24"/>
          <w:szCs w:val="24"/>
        </w:rPr>
        <w:t xml:space="preserve"> </w:t>
      </w:r>
      <w:r w:rsidRPr="00C124A4">
        <w:rPr>
          <w:rFonts w:ascii="Myriad Pro" w:hAnsi="Myriad Pro"/>
          <w:sz w:val="24"/>
          <w:szCs w:val="24"/>
          <w:lang w:val="es-ES"/>
        </w:rPr>
        <w:t xml:space="preserve">En relación con la posibilidad de interpretar una acción desde diversas perspectivas (normativas), ver </w:t>
      </w:r>
      <w:r w:rsidRPr="00C124A4">
        <w:rPr>
          <w:rFonts w:ascii="Myriad Pro" w:hAnsi="Myriad Pro"/>
          <w:sz w:val="24"/>
          <w:szCs w:val="24"/>
        </w:rPr>
        <w:t xml:space="preserve">Schurmann Opazo (2020, p. </w:t>
      </w:r>
      <w:r w:rsidRPr="00C124A4">
        <w:rPr>
          <w:rFonts w:ascii="Myriad Pro" w:hAnsi="Myriad Pro"/>
          <w:sz w:val="24"/>
          <w:szCs w:val="24"/>
          <w:lang w:val="es-ES_tradnl"/>
        </w:rPr>
        <w:t>270 y ss.).</w:t>
      </w:r>
      <w:r w:rsidRPr="00C124A4">
        <w:rPr>
          <w:rFonts w:ascii="Myriad Pro" w:hAnsi="Myriad Pro"/>
          <w:sz w:val="24"/>
          <w:szCs w:val="24"/>
          <w:lang w:val="es-ES"/>
        </w:rPr>
        <w:t xml:space="preserve"> La existencia de un mandato de solidaridad mínima en un determinado caso, no puede simplemente cambiar el baremo para determinar el alcance de la prohibición de prestar colaboración a otro para que cometa un delito.</w:t>
      </w:r>
    </w:p>
    <w:p w14:paraId="0389F958" w14:textId="77777777" w:rsidR="008B1EED" w:rsidRDefault="008B1EED" w:rsidP="008B1EED">
      <w:pPr>
        <w:spacing w:after="0" w:line="240" w:lineRule="auto"/>
        <w:jc w:val="both"/>
        <w:rPr>
          <w:rFonts w:ascii="Myriad Pro" w:hAnsi="Myriad Pro"/>
          <w:sz w:val="24"/>
          <w:szCs w:val="24"/>
          <w:lang w:val="es-ES"/>
        </w:rPr>
      </w:pPr>
    </w:p>
    <w:p w14:paraId="382F7575" w14:textId="2E40C88C" w:rsidR="00175472" w:rsidRPr="006A7540" w:rsidRDefault="00175472" w:rsidP="008B1EED">
      <w:pPr>
        <w:spacing w:after="0" w:line="240" w:lineRule="auto"/>
        <w:jc w:val="center"/>
        <w:rPr>
          <w:rFonts w:ascii="Myriad Pro" w:hAnsi="Myriad Pro"/>
          <w:b/>
        </w:rPr>
      </w:pPr>
      <w:r w:rsidRPr="006A7540">
        <w:rPr>
          <w:rFonts w:ascii="Myriad Pro" w:hAnsi="Myriad Pro"/>
          <w:b/>
          <w:lang w:val="es-ES"/>
        </w:rPr>
        <w:t xml:space="preserve">1.1.4. </w:t>
      </w:r>
      <w:r w:rsidRPr="006A7540">
        <w:rPr>
          <w:rFonts w:ascii="Myriad Pro" w:hAnsi="Myriad Pro"/>
          <w:b/>
        </w:rPr>
        <w:t xml:space="preserve">Otras restricciones en </w:t>
      </w:r>
      <w:r w:rsidRPr="008B1EED">
        <w:rPr>
          <w:rFonts w:ascii="Myriad Pro" w:hAnsi="Myriad Pro"/>
          <w:b/>
          <w:sz w:val="24"/>
          <w:szCs w:val="24"/>
        </w:rPr>
        <w:t>el</w:t>
      </w:r>
      <w:r w:rsidRPr="006A7540">
        <w:rPr>
          <w:rFonts w:ascii="Myriad Pro" w:hAnsi="Myriad Pro"/>
          <w:b/>
        </w:rPr>
        <w:t xml:space="preserve"> nivel de la imputación objetiva y la aplicación de la prohib</w:t>
      </w:r>
      <w:r w:rsidRPr="006A7540">
        <w:rPr>
          <w:rFonts w:ascii="Myriad Pro" w:hAnsi="Myriad Pro"/>
          <w:b/>
        </w:rPr>
        <w:t>i</w:t>
      </w:r>
      <w:r w:rsidRPr="006A7540">
        <w:rPr>
          <w:rFonts w:ascii="Myriad Pro" w:hAnsi="Myriad Pro"/>
          <w:b/>
        </w:rPr>
        <w:t>ción de regreso</w:t>
      </w:r>
    </w:p>
    <w:p w14:paraId="5F2F694D" w14:textId="77777777" w:rsidR="008B1EED" w:rsidRDefault="008B1EED" w:rsidP="008B1EED">
      <w:pPr>
        <w:spacing w:after="0" w:line="240" w:lineRule="auto"/>
        <w:jc w:val="both"/>
        <w:rPr>
          <w:rFonts w:ascii="Myriad Pro" w:hAnsi="Myriad Pro"/>
          <w:sz w:val="24"/>
          <w:szCs w:val="24"/>
          <w:lang w:val="es-ES"/>
        </w:rPr>
      </w:pPr>
    </w:p>
    <w:p w14:paraId="295CA250" w14:textId="48FFAE2C" w:rsidR="00175472" w:rsidRDefault="00175472" w:rsidP="00175472">
      <w:pPr>
        <w:spacing w:before="200"/>
        <w:jc w:val="both"/>
        <w:rPr>
          <w:rFonts w:ascii="Myriad Pro" w:hAnsi="Myriad Pro"/>
          <w:sz w:val="24"/>
          <w:szCs w:val="24"/>
          <w:lang w:val="es-ES"/>
        </w:rPr>
      </w:pPr>
      <w:r>
        <w:rPr>
          <w:rFonts w:ascii="Myriad Pro" w:hAnsi="Myriad Pro"/>
          <w:sz w:val="24"/>
          <w:szCs w:val="24"/>
          <w:lang w:val="es-ES"/>
        </w:rPr>
        <w:tab/>
      </w:r>
      <w:r w:rsidRPr="00175472">
        <w:rPr>
          <w:rFonts w:ascii="Myriad Pro" w:hAnsi="Myriad Pro"/>
          <w:sz w:val="24"/>
          <w:szCs w:val="24"/>
          <w:lang w:val="es-ES"/>
        </w:rPr>
        <w:t xml:space="preserve">Mientras las teorías precedentes intentan una restricción de la </w:t>
      </w:r>
      <w:r w:rsidRPr="00175472">
        <w:rPr>
          <w:rFonts w:ascii="Myriad Pro" w:hAnsi="Myriad Pro"/>
          <w:i/>
          <w:sz w:val="24"/>
          <w:szCs w:val="24"/>
          <w:lang w:val="es-ES"/>
        </w:rPr>
        <w:t>acción de co</w:t>
      </w:r>
      <w:r w:rsidRPr="00175472">
        <w:rPr>
          <w:rFonts w:ascii="Myriad Pro" w:hAnsi="Myriad Pro"/>
          <w:i/>
          <w:sz w:val="24"/>
          <w:szCs w:val="24"/>
          <w:lang w:val="es-ES"/>
        </w:rPr>
        <w:t>m</w:t>
      </w:r>
      <w:r w:rsidRPr="00175472">
        <w:rPr>
          <w:rFonts w:ascii="Myriad Pro" w:hAnsi="Myriad Pro"/>
          <w:i/>
          <w:sz w:val="24"/>
          <w:szCs w:val="24"/>
          <w:lang w:val="es-ES"/>
        </w:rPr>
        <w:t>plicidad</w:t>
      </w:r>
      <w:r w:rsidRPr="00175472">
        <w:rPr>
          <w:rFonts w:ascii="Myriad Pro" w:hAnsi="Myriad Pro"/>
          <w:sz w:val="24"/>
          <w:szCs w:val="24"/>
          <w:lang w:val="es-ES"/>
        </w:rPr>
        <w:t xml:space="preserve"> punible, otras opiniones afirman que la solución del problema debe ser e</w:t>
      </w:r>
      <w:r w:rsidRPr="00175472">
        <w:rPr>
          <w:rFonts w:ascii="Myriad Pro" w:hAnsi="Myriad Pro"/>
          <w:sz w:val="24"/>
          <w:szCs w:val="24"/>
          <w:lang w:val="es-ES"/>
        </w:rPr>
        <w:t>n</w:t>
      </w:r>
      <w:r w:rsidRPr="00175472">
        <w:rPr>
          <w:rFonts w:ascii="Myriad Pro" w:hAnsi="Myriad Pro"/>
          <w:sz w:val="24"/>
          <w:szCs w:val="24"/>
          <w:lang w:val="es-ES"/>
        </w:rPr>
        <w:t xml:space="preserve">contrado en la </w:t>
      </w:r>
      <w:r w:rsidRPr="00175472">
        <w:rPr>
          <w:rFonts w:ascii="Myriad Pro" w:hAnsi="Myriad Pro"/>
          <w:i/>
          <w:sz w:val="24"/>
          <w:szCs w:val="24"/>
          <w:lang w:val="es-ES"/>
        </w:rPr>
        <w:t xml:space="preserve">imputación del resultado </w:t>
      </w:r>
      <w:r w:rsidRPr="00175472">
        <w:rPr>
          <w:rFonts w:ascii="Myriad Pro" w:hAnsi="Myriad Pro"/>
          <w:sz w:val="24"/>
          <w:szCs w:val="24"/>
          <w:lang w:val="es-ES"/>
        </w:rPr>
        <w:t>(</w:t>
      </w:r>
      <w:r w:rsidRPr="00175472">
        <w:rPr>
          <w:rFonts w:ascii="Myriad Pro" w:hAnsi="Myriad Pro"/>
          <w:sz w:val="24"/>
          <w:szCs w:val="24"/>
        </w:rPr>
        <w:t>Amelung, 1999, p. 14)</w:t>
      </w:r>
      <w:r w:rsidRPr="00175472">
        <w:rPr>
          <w:rFonts w:ascii="Myriad Pro" w:hAnsi="Myriad Pro"/>
          <w:sz w:val="24"/>
          <w:szCs w:val="24"/>
          <w:lang w:val="es-ES"/>
        </w:rPr>
        <w:t xml:space="preserve">. Sin embargo, la teoría de la imputación objetiva ofrece muchas posibilidades para encontrar una solución –sin embargo, esas extensas posibilidades no son precisamente una ventaja. Para una crítica a la teoría de la imputación objetiva resulta fundamental ver </w:t>
      </w:r>
      <w:r w:rsidRPr="00175472">
        <w:rPr>
          <w:rFonts w:ascii="Myriad Pro" w:hAnsi="Myriad Pro"/>
          <w:sz w:val="24"/>
          <w:szCs w:val="24"/>
        </w:rPr>
        <w:t xml:space="preserve">Kindhäuser (2007b). </w:t>
      </w:r>
      <w:r w:rsidRPr="00175472">
        <w:rPr>
          <w:rFonts w:ascii="Myriad Pro" w:hAnsi="Myriad Pro"/>
          <w:sz w:val="24"/>
          <w:szCs w:val="24"/>
          <w:lang w:val="es-ES"/>
        </w:rPr>
        <w:t>Otra crítica, tanto desde sus fundamentos como por sus insostenibles co</w:t>
      </w:r>
      <w:r w:rsidRPr="00175472">
        <w:rPr>
          <w:rFonts w:ascii="Myriad Pro" w:hAnsi="Myriad Pro"/>
          <w:sz w:val="24"/>
          <w:szCs w:val="24"/>
          <w:lang w:val="es-ES"/>
        </w:rPr>
        <w:t>n</w:t>
      </w:r>
      <w:r w:rsidRPr="00175472">
        <w:rPr>
          <w:rFonts w:ascii="Myriad Pro" w:hAnsi="Myriad Pro"/>
          <w:sz w:val="24"/>
          <w:szCs w:val="24"/>
          <w:lang w:val="es-ES"/>
        </w:rPr>
        <w:t xml:space="preserve">secuencias se encuentra </w:t>
      </w:r>
      <w:r w:rsidRPr="00175472">
        <w:rPr>
          <w:rFonts w:ascii="Myriad Pro" w:hAnsi="Myriad Pro"/>
          <w:sz w:val="24"/>
          <w:szCs w:val="24"/>
        </w:rPr>
        <w:t>en Aichele (2011</w:t>
      </w:r>
      <w:proofErr w:type="gramStart"/>
      <w:r w:rsidRPr="00175472">
        <w:rPr>
          <w:rFonts w:ascii="Myriad Pro" w:hAnsi="Myriad Pro"/>
          <w:sz w:val="24"/>
          <w:szCs w:val="24"/>
        </w:rPr>
        <w:t>)–</w:t>
      </w:r>
      <w:proofErr w:type="gramEnd"/>
      <w:r w:rsidRPr="00175472">
        <w:rPr>
          <w:rFonts w:ascii="Myriad Pro" w:hAnsi="Myriad Pro"/>
          <w:sz w:val="24"/>
          <w:szCs w:val="24"/>
        </w:rPr>
        <w:t>.</w:t>
      </w:r>
      <w:r w:rsidRPr="00175472">
        <w:rPr>
          <w:rFonts w:ascii="Myriad Pro" w:hAnsi="Myriad Pro"/>
          <w:sz w:val="24"/>
          <w:szCs w:val="24"/>
          <w:lang w:val="es-ES"/>
        </w:rPr>
        <w:t xml:space="preserve"> Es por ello que se hallan en el mismo nivel teórico diversos criterios. </w:t>
      </w:r>
    </w:p>
    <w:p w14:paraId="6AABDDDF" w14:textId="77777777" w:rsidR="008B1EED" w:rsidRPr="00175472" w:rsidRDefault="008B1EED" w:rsidP="008B1EED">
      <w:pPr>
        <w:spacing w:after="0" w:line="240" w:lineRule="auto"/>
        <w:jc w:val="both"/>
        <w:rPr>
          <w:rFonts w:ascii="Myriad Pro" w:hAnsi="Myriad Pro"/>
          <w:sz w:val="24"/>
          <w:szCs w:val="24"/>
          <w:lang w:val="es-ES"/>
        </w:rPr>
      </w:pPr>
    </w:p>
    <w:p w14:paraId="071121BD" w14:textId="5BD79425" w:rsidR="00175472" w:rsidRPr="008B1EED" w:rsidRDefault="00175472" w:rsidP="008B1EED">
      <w:pPr>
        <w:spacing w:after="0" w:line="240" w:lineRule="auto"/>
        <w:jc w:val="center"/>
        <w:rPr>
          <w:rFonts w:ascii="Myriad Pro" w:hAnsi="Myriad Pro"/>
          <w:b/>
          <w:lang w:val="es-ES"/>
        </w:rPr>
      </w:pPr>
      <w:r w:rsidRPr="008B1EED">
        <w:rPr>
          <w:rFonts w:ascii="Myriad Pro" w:hAnsi="Myriad Pro"/>
          <w:b/>
          <w:lang w:val="es-ES"/>
        </w:rPr>
        <w:t>1.1.4.1.</w:t>
      </w:r>
      <w:r w:rsidRPr="008B1EED">
        <w:rPr>
          <w:rFonts w:ascii="Myriad Pro" w:hAnsi="Myriad Pro"/>
          <w:b/>
        </w:rPr>
        <w:t xml:space="preserve"> </w:t>
      </w:r>
      <w:r w:rsidRPr="008B1EED">
        <w:rPr>
          <w:rFonts w:ascii="Myriad Pro" w:hAnsi="Myriad Pro"/>
          <w:b/>
          <w:lang w:val="es-ES"/>
        </w:rPr>
        <w:t>La creación de un riesgo jurídicamente desaprobado como criterio principal en la con</w:t>
      </w:r>
      <w:r w:rsidRPr="008B1EED">
        <w:rPr>
          <w:rFonts w:ascii="Myriad Pro" w:hAnsi="Myriad Pro"/>
          <w:b/>
          <w:lang w:val="es-ES"/>
        </w:rPr>
        <w:t>s</w:t>
      </w:r>
      <w:r w:rsidRPr="008B1EED">
        <w:rPr>
          <w:rFonts w:ascii="Myriad Pro" w:hAnsi="Myriad Pro"/>
          <w:b/>
          <w:lang w:val="es-ES"/>
        </w:rPr>
        <w:t>trucción de Schall</w:t>
      </w:r>
    </w:p>
    <w:p w14:paraId="5E6BA0A8" w14:textId="77777777" w:rsidR="008B1EED" w:rsidRDefault="008B1EED" w:rsidP="008B1EED">
      <w:pPr>
        <w:spacing w:after="0" w:line="240" w:lineRule="auto"/>
        <w:jc w:val="both"/>
        <w:rPr>
          <w:rFonts w:ascii="Myriad Pro" w:hAnsi="Myriad Pro"/>
          <w:sz w:val="24"/>
          <w:szCs w:val="24"/>
          <w:lang w:val="es-ES"/>
        </w:rPr>
      </w:pPr>
    </w:p>
    <w:p w14:paraId="6242F3FC" w14:textId="7CA78166" w:rsidR="00175472" w:rsidRPr="00175472" w:rsidRDefault="00175472" w:rsidP="00175472">
      <w:pPr>
        <w:spacing w:before="200"/>
        <w:jc w:val="both"/>
        <w:rPr>
          <w:rFonts w:ascii="Garamond" w:hAnsi="Garamond"/>
          <w:sz w:val="24"/>
          <w:szCs w:val="24"/>
          <w:lang w:val="es-ES"/>
        </w:rPr>
      </w:pPr>
      <w:r>
        <w:rPr>
          <w:rFonts w:ascii="Myriad Pro" w:hAnsi="Myriad Pro"/>
          <w:sz w:val="24"/>
          <w:szCs w:val="24"/>
          <w:lang w:val="es-ES"/>
        </w:rPr>
        <w:tab/>
      </w:r>
      <w:r w:rsidRPr="00175472">
        <w:rPr>
          <w:rFonts w:ascii="Myriad Pro" w:hAnsi="Myriad Pro"/>
          <w:sz w:val="24"/>
          <w:szCs w:val="24"/>
          <w:lang w:val="es-ES"/>
        </w:rPr>
        <w:t xml:space="preserve">La capacidad aclaratoria del criterio de incremento del riesgo es discutida por Schall (2002) dentro de la teoría de la imputación objetiva, dado que comportamientos cotidianos pueden facilitar </w:t>
      </w:r>
      <w:r w:rsidRPr="00175472">
        <w:rPr>
          <w:rFonts w:ascii="Myriad Pro" w:hAnsi="Myriad Pro"/>
          <w:sz w:val="24"/>
          <w:szCs w:val="24"/>
          <w:lang w:val="es-ES_tradnl"/>
        </w:rPr>
        <w:t>—</w:t>
      </w:r>
      <w:r w:rsidRPr="00175472">
        <w:rPr>
          <w:rFonts w:ascii="Myriad Pro" w:hAnsi="Myriad Pro"/>
          <w:sz w:val="24"/>
          <w:szCs w:val="24"/>
          <w:lang w:val="es-ES"/>
        </w:rPr>
        <w:t>en un caso concreto</w:t>
      </w:r>
      <w:r w:rsidRPr="00175472">
        <w:rPr>
          <w:rFonts w:ascii="Myriad Pro" w:hAnsi="Myriad Pro"/>
          <w:sz w:val="24"/>
          <w:szCs w:val="24"/>
          <w:lang w:val="es-ES_tradnl"/>
        </w:rPr>
        <w:t>—</w:t>
      </w:r>
      <w:r w:rsidRPr="00175472">
        <w:rPr>
          <w:rFonts w:ascii="Myriad Pro" w:hAnsi="Myriad Pro"/>
          <w:sz w:val="24"/>
          <w:szCs w:val="24"/>
          <w:lang w:val="es-ES"/>
        </w:rPr>
        <w:t xml:space="preserve"> la comisión de un hecho delictivo. Schall (2002, p. 144 y ss.) propone el tratamiento del problema trasladando la evaluación de la imputación al segundo requisito o estadio del análisis de la teoría de la imputación objetiva, esto es, el carácter jurídicamente desaprobado del riesgo creado. Para dichos efectos, establece dos criterios: (i) la creación de un riesgo jurídicamente desaprobado a través de la solidaridad con el autor y (ii) la l</w:t>
      </w:r>
      <w:r w:rsidRPr="00175472">
        <w:rPr>
          <w:rFonts w:ascii="Myriad Pro" w:hAnsi="Myriad Pro"/>
          <w:sz w:val="24"/>
          <w:szCs w:val="24"/>
          <w:lang w:val="es-ES"/>
        </w:rPr>
        <w:t>e</w:t>
      </w:r>
      <w:r w:rsidRPr="00175472">
        <w:rPr>
          <w:rFonts w:ascii="Myriad Pro" w:hAnsi="Myriad Pro"/>
          <w:sz w:val="24"/>
          <w:szCs w:val="24"/>
          <w:lang w:val="es-ES"/>
        </w:rPr>
        <w:lastRenderedPageBreak/>
        <w:t>sión de deb</w:t>
      </w:r>
      <w:r w:rsidRPr="00175472">
        <w:rPr>
          <w:rFonts w:ascii="Myriad Pro" w:hAnsi="Myriad Pro"/>
          <w:sz w:val="24"/>
          <w:szCs w:val="24"/>
          <w:lang w:val="es-ES"/>
        </w:rPr>
        <w:t>e</w:t>
      </w:r>
      <w:r w:rsidRPr="00175472">
        <w:rPr>
          <w:rFonts w:ascii="Myriad Pro" w:hAnsi="Myriad Pro"/>
          <w:sz w:val="24"/>
          <w:szCs w:val="24"/>
          <w:lang w:val="es-ES"/>
        </w:rPr>
        <w:t>res legales de acción. El primer criterio fue desarrollado por Schumann (1986, p. 49 y ss.) y radica no solo en la aprobación interna del cómplice, sino que principalmente para casos de comportamientos colusivos. Para Schumann (1986, p. 54 y ss.) la solidaridad con el autor no es un criterio restrictivo de la imputación obj</w:t>
      </w:r>
      <w:r w:rsidRPr="00175472">
        <w:rPr>
          <w:rFonts w:ascii="Myriad Pro" w:hAnsi="Myriad Pro"/>
          <w:sz w:val="24"/>
          <w:szCs w:val="24"/>
          <w:lang w:val="es-ES"/>
        </w:rPr>
        <w:t>e</w:t>
      </w:r>
      <w:r w:rsidRPr="00175472">
        <w:rPr>
          <w:rFonts w:ascii="Myriad Pro" w:hAnsi="Myriad Pro"/>
          <w:sz w:val="24"/>
          <w:szCs w:val="24"/>
          <w:lang w:val="es-ES"/>
        </w:rPr>
        <w:t>tiva, sino que el fundamento penal de la participación, el cual puede tener un efecto especialmente restrictivo para la punibilidad de acciones neutrales</w:t>
      </w:r>
      <w:r w:rsidRPr="00175472">
        <w:rPr>
          <w:rStyle w:val="Ancladenotaalpie"/>
          <w:rFonts w:ascii="Myriad Pro" w:hAnsi="Myriad Pro"/>
          <w:sz w:val="24"/>
          <w:szCs w:val="24"/>
          <w:lang w:val="es-ES"/>
        </w:rPr>
        <w:footnoteReference w:id="17"/>
      </w:r>
      <w:r w:rsidRPr="00175472">
        <w:rPr>
          <w:rFonts w:ascii="Myriad Pro" w:hAnsi="Myriad Pro"/>
          <w:sz w:val="24"/>
          <w:szCs w:val="24"/>
          <w:lang w:val="es-ES"/>
        </w:rPr>
        <w:t>. El segundo cr</w:t>
      </w:r>
      <w:r w:rsidRPr="00175472">
        <w:rPr>
          <w:rFonts w:ascii="Myriad Pro" w:hAnsi="Myriad Pro"/>
          <w:sz w:val="24"/>
          <w:szCs w:val="24"/>
          <w:lang w:val="es-ES"/>
        </w:rPr>
        <w:t>i</w:t>
      </w:r>
      <w:r w:rsidRPr="00175472">
        <w:rPr>
          <w:rFonts w:ascii="Myriad Pro" w:hAnsi="Myriad Pro"/>
          <w:sz w:val="24"/>
          <w:szCs w:val="24"/>
          <w:lang w:val="es-ES"/>
        </w:rPr>
        <w:t>terio se refiere al interés en la libertad general de acción, fundada en el derecho al libre ejercicio de la profesión, la cual debe ser ponderada (en términos similares a la propuesta teórica de Frisch) con el injusto de acción y el bien jurídico afectado.</w:t>
      </w:r>
    </w:p>
    <w:p w14:paraId="3D96FB17" w14:textId="77777777" w:rsidR="00175472" w:rsidRPr="008B1EED" w:rsidRDefault="00175472" w:rsidP="008B1EED">
      <w:pPr>
        <w:spacing w:after="0" w:line="240" w:lineRule="auto"/>
        <w:jc w:val="both"/>
        <w:rPr>
          <w:rFonts w:ascii="Myriad Pro" w:hAnsi="Myriad Pro"/>
          <w:b/>
          <w:sz w:val="24"/>
          <w:szCs w:val="24"/>
          <w:lang w:val="es-ES"/>
        </w:rPr>
      </w:pPr>
      <w:r w:rsidRPr="00175472">
        <w:rPr>
          <w:rFonts w:ascii="Myriad Pro" w:hAnsi="Myriad Pro"/>
          <w:sz w:val="24"/>
          <w:szCs w:val="24"/>
          <w:lang w:val="es-ES"/>
        </w:rPr>
        <w:tab/>
        <w:t xml:space="preserve">Mientras el segundo criterio merece las mismas objeciones que la teoría de Frisch, el primero (solidaridad con el autor) contendría un requisito general no escrito de la punibilidad del cómplice, lo que constituye precisamente una objeción en su contra. Dicho requisito no es fácilmente conciliable con el tenor literal de la ley y, adicionalmente, no entrega criterios claros para determinar cuándo se presenta una situación de solidaridad, sino que solo indicios para identificar su ausencia (Kudlich, 2004, p. 114). </w:t>
      </w:r>
    </w:p>
    <w:p w14:paraId="72815C7D" w14:textId="77777777" w:rsidR="008B1EED" w:rsidRPr="008B1EED" w:rsidRDefault="008B1EED" w:rsidP="008B1EED">
      <w:pPr>
        <w:spacing w:after="0" w:line="240" w:lineRule="auto"/>
        <w:jc w:val="center"/>
        <w:rPr>
          <w:rFonts w:ascii="Myriad Pro" w:hAnsi="Myriad Pro"/>
          <w:b/>
        </w:rPr>
      </w:pPr>
    </w:p>
    <w:p w14:paraId="70649E9A" w14:textId="1F16EAB3" w:rsidR="00175472" w:rsidRPr="008B1EED" w:rsidRDefault="00175472" w:rsidP="008B1EED">
      <w:pPr>
        <w:spacing w:after="0" w:line="240" w:lineRule="auto"/>
        <w:jc w:val="center"/>
        <w:rPr>
          <w:rFonts w:ascii="Myriad Pro" w:hAnsi="Myriad Pro"/>
          <w:b/>
        </w:rPr>
      </w:pPr>
      <w:r w:rsidRPr="008B1EED">
        <w:rPr>
          <w:rFonts w:ascii="Myriad Pro" w:hAnsi="Myriad Pro"/>
          <w:b/>
        </w:rPr>
        <w:t>1.1.4.2. La libre y general disponibilidad de una prestación y la consideración de la r</w:t>
      </w:r>
      <w:r w:rsidRPr="008B1EED">
        <w:rPr>
          <w:rFonts w:ascii="Myriad Pro" w:hAnsi="Myriad Pro"/>
          <w:b/>
        </w:rPr>
        <w:t>e</w:t>
      </w:r>
      <w:r w:rsidRPr="008B1EED">
        <w:rPr>
          <w:rFonts w:ascii="Myriad Pro" w:hAnsi="Myriad Pro"/>
          <w:b/>
        </w:rPr>
        <w:t>lación espacio-temporal entre la entrega y la acción principal como criterios normat</w:t>
      </w:r>
      <w:r w:rsidRPr="008B1EED">
        <w:rPr>
          <w:rFonts w:ascii="Myriad Pro" w:hAnsi="Myriad Pro"/>
          <w:b/>
        </w:rPr>
        <w:t>i</w:t>
      </w:r>
      <w:r w:rsidRPr="008B1EED">
        <w:rPr>
          <w:rFonts w:ascii="Myriad Pro" w:hAnsi="Myriad Pro"/>
          <w:b/>
        </w:rPr>
        <w:t>vos de carácter restrictivo propios de la imputación objetiva</w:t>
      </w:r>
    </w:p>
    <w:p w14:paraId="67C62E21" w14:textId="77777777" w:rsidR="008B1EED" w:rsidRPr="008B1EED" w:rsidRDefault="008B1EED" w:rsidP="008B1EED">
      <w:pPr>
        <w:spacing w:after="0" w:line="240" w:lineRule="auto"/>
        <w:jc w:val="center"/>
        <w:rPr>
          <w:rFonts w:ascii="Myriad Pro" w:hAnsi="Myriad Pro"/>
          <w:b/>
        </w:rPr>
      </w:pPr>
    </w:p>
    <w:p w14:paraId="56CC8C36" w14:textId="371BCE54" w:rsidR="00262FED" w:rsidRPr="00262FED" w:rsidRDefault="00262FED" w:rsidP="00262FED">
      <w:pPr>
        <w:widowControl w:val="0"/>
        <w:spacing w:before="200"/>
        <w:jc w:val="both"/>
        <w:rPr>
          <w:rFonts w:ascii="Myriad Pro" w:hAnsi="Myriad Pro"/>
          <w:sz w:val="24"/>
          <w:szCs w:val="24"/>
          <w:lang w:val="es-ES"/>
        </w:rPr>
      </w:pPr>
      <w:r>
        <w:rPr>
          <w:rFonts w:ascii="Myriad Pro" w:hAnsi="Myriad Pro"/>
          <w:sz w:val="24"/>
          <w:szCs w:val="24"/>
          <w:lang w:val="es-ES"/>
        </w:rPr>
        <w:tab/>
      </w:r>
      <w:r w:rsidRPr="00262FED">
        <w:rPr>
          <w:rFonts w:ascii="Myriad Pro" w:hAnsi="Myriad Pro"/>
          <w:sz w:val="24"/>
          <w:szCs w:val="24"/>
          <w:lang w:val="es-ES"/>
        </w:rPr>
        <w:t>Puppe (1998, p. 27; 2017, N. 173) sostiene como restricción, también en el n</w:t>
      </w:r>
      <w:r w:rsidRPr="00262FED">
        <w:rPr>
          <w:rFonts w:ascii="Myriad Pro" w:hAnsi="Myriad Pro"/>
          <w:sz w:val="24"/>
          <w:szCs w:val="24"/>
          <w:lang w:val="es-ES"/>
        </w:rPr>
        <w:t>i</w:t>
      </w:r>
      <w:r w:rsidRPr="00262FED">
        <w:rPr>
          <w:rFonts w:ascii="Myriad Pro" w:hAnsi="Myriad Pro"/>
          <w:sz w:val="24"/>
          <w:szCs w:val="24"/>
          <w:lang w:val="es-ES"/>
        </w:rPr>
        <w:t>vel de la imputación objetiva, que tanto la disponibilidad general de objetos y pre</w:t>
      </w:r>
      <w:r w:rsidRPr="00262FED">
        <w:rPr>
          <w:rFonts w:ascii="Myriad Pro" w:hAnsi="Myriad Pro"/>
          <w:sz w:val="24"/>
          <w:szCs w:val="24"/>
          <w:lang w:val="es-ES"/>
        </w:rPr>
        <w:t>s</w:t>
      </w:r>
      <w:r w:rsidRPr="00262FED">
        <w:rPr>
          <w:rFonts w:ascii="Myriad Pro" w:hAnsi="Myriad Pro"/>
          <w:sz w:val="24"/>
          <w:szCs w:val="24"/>
          <w:lang w:val="es-ES"/>
        </w:rPr>
        <w:t>taciones como el tiempo que media entre la realización del acto de colaboración y la ejecución del hecho delictivo posterior, deben ser criterios decisivos para evaluar punibilidad de la conducta a título de complicidad. Dado que una prohibición gen</w:t>
      </w:r>
      <w:r w:rsidRPr="00262FED">
        <w:rPr>
          <w:rFonts w:ascii="Myriad Pro" w:hAnsi="Myriad Pro"/>
          <w:sz w:val="24"/>
          <w:szCs w:val="24"/>
          <w:lang w:val="es-ES"/>
        </w:rPr>
        <w:t>é</w:t>
      </w:r>
      <w:r w:rsidRPr="00262FED">
        <w:rPr>
          <w:rFonts w:ascii="Myriad Pro" w:hAnsi="Myriad Pro"/>
          <w:sz w:val="24"/>
          <w:szCs w:val="24"/>
          <w:lang w:val="es-ES"/>
        </w:rPr>
        <w:t>rica de dicha prestación no constituye un medio idóneo para mejorar las posibilid</w:t>
      </w:r>
      <w:r w:rsidRPr="00262FED">
        <w:rPr>
          <w:rFonts w:ascii="Myriad Pro" w:hAnsi="Myriad Pro"/>
          <w:sz w:val="24"/>
          <w:szCs w:val="24"/>
          <w:lang w:val="es-ES"/>
        </w:rPr>
        <w:t>a</w:t>
      </w:r>
      <w:r w:rsidRPr="00262FED">
        <w:rPr>
          <w:rFonts w:ascii="Myriad Pro" w:hAnsi="Myriad Pro"/>
          <w:sz w:val="24"/>
          <w:szCs w:val="24"/>
          <w:lang w:val="es-ES"/>
        </w:rPr>
        <w:t>des de conservación del bien jurídico, la evaluación del carácter prohibido de la co</w:t>
      </w:r>
      <w:r w:rsidRPr="00262FED">
        <w:rPr>
          <w:rFonts w:ascii="Myriad Pro" w:hAnsi="Myriad Pro"/>
          <w:sz w:val="24"/>
          <w:szCs w:val="24"/>
          <w:lang w:val="es-ES"/>
        </w:rPr>
        <w:t>n</w:t>
      </w:r>
      <w:r w:rsidRPr="00262FED">
        <w:rPr>
          <w:rFonts w:ascii="Myriad Pro" w:hAnsi="Myriad Pro"/>
          <w:sz w:val="24"/>
          <w:szCs w:val="24"/>
          <w:lang w:val="es-ES"/>
        </w:rPr>
        <w:t>ducta debe ceñirse a los factores que contextualizan dicho aporte –este es también el primer criterio en la construcción de Wohlers (2000, p. 173)–. En virtud de dicho argumento, no solo debió haber sido declarado como lícito el suministro de pan en el denominado “</w:t>
      </w:r>
      <w:r w:rsidRPr="006A6317">
        <w:rPr>
          <w:rFonts w:ascii="Myriad Pro" w:hAnsi="Myriad Pro"/>
          <w:sz w:val="24"/>
          <w:szCs w:val="24"/>
          <w:lang w:val="es-ES"/>
        </w:rPr>
        <w:t>caso del burdel</w:t>
      </w:r>
      <w:r w:rsidRPr="00262FED">
        <w:rPr>
          <w:rFonts w:ascii="Myriad Pro" w:hAnsi="Myriad Pro"/>
          <w:sz w:val="24"/>
          <w:szCs w:val="24"/>
          <w:lang w:val="es-ES"/>
        </w:rPr>
        <w:t>” (</w:t>
      </w:r>
      <w:r w:rsidR="006A6317">
        <w:rPr>
          <w:rFonts w:ascii="Myriad Pro" w:hAnsi="Myriad Pro"/>
          <w:sz w:val="24"/>
          <w:szCs w:val="24"/>
          <w:lang w:val="es-ES"/>
        </w:rPr>
        <w:t xml:space="preserve">1906, </w:t>
      </w:r>
      <w:r w:rsidRPr="006A6317">
        <w:rPr>
          <w:rFonts w:ascii="Myriad Pro" w:hAnsi="Myriad Pro"/>
          <w:sz w:val="24"/>
          <w:szCs w:val="24"/>
          <w:lang w:val="es-ES"/>
        </w:rPr>
        <w:t>RGSt 39 44</w:t>
      </w:r>
      <w:r w:rsidRPr="00262FED">
        <w:rPr>
          <w:rFonts w:ascii="Myriad Pro" w:hAnsi="Myriad Pro"/>
          <w:sz w:val="24"/>
          <w:szCs w:val="24"/>
          <w:lang w:val="es-ES"/>
        </w:rPr>
        <w:t>), sino que también el suministro de vino –ver la exposición de las sentencias en  Meyer-Arndt (1989, p. 282 y ss.) y Lesch (2014, p. 453 y ss.), desde una perspectiva histórica con referencia a las dec</w:t>
      </w:r>
      <w:r w:rsidRPr="00262FED">
        <w:rPr>
          <w:rFonts w:ascii="Myriad Pro" w:hAnsi="Myriad Pro"/>
          <w:sz w:val="24"/>
          <w:szCs w:val="24"/>
          <w:lang w:val="es-ES"/>
        </w:rPr>
        <w:t>i</w:t>
      </w:r>
      <w:r w:rsidRPr="00262FED">
        <w:rPr>
          <w:rFonts w:ascii="Myriad Pro" w:hAnsi="Myriad Pro"/>
          <w:sz w:val="24"/>
          <w:szCs w:val="24"/>
          <w:lang w:val="es-ES"/>
        </w:rPr>
        <w:t>siones del Reichsgericht</w:t>
      </w:r>
      <w:r w:rsidRPr="006A6317">
        <w:rPr>
          <w:rFonts w:ascii="Myriad Pro" w:hAnsi="Myriad Pro"/>
          <w:sz w:val="24"/>
          <w:szCs w:val="24"/>
          <w:lang w:val="es-ES"/>
        </w:rPr>
        <w:t xml:space="preserve"> (RG</w:t>
      </w:r>
      <w:r w:rsidRPr="00262FED">
        <w:rPr>
          <w:rFonts w:ascii="Myriad Pro" w:hAnsi="Myriad Pro"/>
          <w:sz w:val="24"/>
          <w:szCs w:val="24"/>
          <w:lang w:val="es-ES"/>
        </w:rPr>
        <w:t>)</w:t>
      </w:r>
      <w:r w:rsidRPr="00262FED">
        <w:rPr>
          <w:rStyle w:val="Refdenotaalpie"/>
          <w:rFonts w:ascii="Myriad Pro" w:hAnsi="Myriad Pro"/>
          <w:sz w:val="24"/>
          <w:szCs w:val="24"/>
          <w:lang w:val="es-ES"/>
        </w:rPr>
        <w:footnoteReference w:id="18"/>
      </w:r>
      <w:r w:rsidRPr="00262FED">
        <w:rPr>
          <w:rFonts w:ascii="Myriad Pro" w:hAnsi="Myriad Pro"/>
          <w:sz w:val="24"/>
          <w:szCs w:val="24"/>
          <w:lang w:val="es-ES"/>
        </w:rPr>
        <w:t xml:space="preserve"> y el </w:t>
      </w:r>
      <w:r w:rsidR="006A6317" w:rsidRPr="00635592">
        <w:rPr>
          <w:rFonts w:ascii="Myriad Pro" w:hAnsi="Myriad Pro"/>
          <w:sz w:val="24"/>
          <w:szCs w:val="24"/>
        </w:rPr>
        <w:t>Schweizerisches Bundesgericht (Schweiz BGE)</w:t>
      </w:r>
      <w:r w:rsidR="006A6317">
        <w:rPr>
          <w:rStyle w:val="Refdenotaalpie"/>
          <w:rFonts w:ascii="Myriad Pro" w:hAnsi="Myriad Pro"/>
          <w:sz w:val="24"/>
          <w:szCs w:val="24"/>
        </w:rPr>
        <w:footnoteReference w:id="19"/>
      </w:r>
      <w:r w:rsidRPr="00262FED">
        <w:rPr>
          <w:rFonts w:ascii="Myriad Pro" w:hAnsi="Myriad Pro"/>
          <w:sz w:val="24"/>
          <w:szCs w:val="24"/>
          <w:lang w:val="es-ES"/>
        </w:rPr>
        <w:t xml:space="preserve">, vease Rackow (2007, p. 281 y ss.)–. Al contrario, las armas y el veneno no son objetos generalmente disponibles y, por ello, su prestación puede ser </w:t>
      </w:r>
      <w:proofErr w:type="gramStart"/>
      <w:r w:rsidRPr="00262FED">
        <w:rPr>
          <w:rFonts w:ascii="Myriad Pro" w:hAnsi="Myriad Pro"/>
          <w:sz w:val="24"/>
          <w:szCs w:val="24"/>
          <w:lang w:val="es-ES"/>
        </w:rPr>
        <w:t>integrado</w:t>
      </w:r>
      <w:proofErr w:type="gramEnd"/>
      <w:r w:rsidRPr="00262FED">
        <w:rPr>
          <w:rFonts w:ascii="Myriad Pro" w:hAnsi="Myriad Pro"/>
          <w:sz w:val="24"/>
          <w:szCs w:val="24"/>
          <w:lang w:val="es-ES"/>
        </w:rPr>
        <w:t xml:space="preserve"> en un co</w:t>
      </w:r>
      <w:r w:rsidRPr="00262FED">
        <w:rPr>
          <w:rFonts w:ascii="Myriad Pro" w:hAnsi="Myriad Pro"/>
          <w:sz w:val="24"/>
          <w:szCs w:val="24"/>
          <w:lang w:val="es-ES"/>
        </w:rPr>
        <w:t>m</w:t>
      </w:r>
      <w:r w:rsidRPr="00262FED">
        <w:rPr>
          <w:rFonts w:ascii="Myriad Pro" w:hAnsi="Myriad Pro"/>
          <w:sz w:val="24"/>
          <w:szCs w:val="24"/>
          <w:lang w:val="es-ES"/>
        </w:rPr>
        <w:t xml:space="preserve">portamiento delictivo si la entrega es realizada infringiendo su regulación. Al mismo resultado arriba Greco (2015, p. 4), cuando afirma que la negación del cómplice a </w:t>
      </w:r>
      <w:r w:rsidRPr="00262FED">
        <w:rPr>
          <w:rFonts w:ascii="Myriad Pro" w:hAnsi="Myriad Pro"/>
          <w:sz w:val="24"/>
          <w:szCs w:val="24"/>
          <w:lang w:val="es-ES"/>
        </w:rPr>
        <w:lastRenderedPageBreak/>
        <w:t>colaborar con prestaciones intercambiables que se encuentran generalmente disp</w:t>
      </w:r>
      <w:r w:rsidRPr="00262FED">
        <w:rPr>
          <w:rFonts w:ascii="Myriad Pro" w:hAnsi="Myriad Pro"/>
          <w:sz w:val="24"/>
          <w:szCs w:val="24"/>
          <w:lang w:val="es-ES"/>
        </w:rPr>
        <w:t>o</w:t>
      </w:r>
      <w:r w:rsidRPr="00262FED">
        <w:rPr>
          <w:rFonts w:ascii="Myriad Pro" w:hAnsi="Myriad Pro"/>
          <w:sz w:val="24"/>
          <w:szCs w:val="24"/>
          <w:lang w:val="es-ES"/>
        </w:rPr>
        <w:t>nibles, no produce efecto positivo alguno para la protección del bien jurídico. Sin embargo, dicho criterio es válido especialmente cuando el hecho punible todavía no es inminente. Schumann (1986) ha desarrollado un criterio similar denominado “ce</w:t>
      </w:r>
      <w:r w:rsidRPr="00262FED">
        <w:rPr>
          <w:rFonts w:ascii="Myriad Pro" w:hAnsi="Myriad Pro"/>
          <w:sz w:val="24"/>
          <w:szCs w:val="24"/>
          <w:lang w:val="es-ES"/>
        </w:rPr>
        <w:t>r</w:t>
      </w:r>
      <w:r w:rsidRPr="00262FED">
        <w:rPr>
          <w:rFonts w:ascii="Myriad Pro" w:hAnsi="Myriad Pro"/>
          <w:sz w:val="24"/>
          <w:szCs w:val="24"/>
          <w:lang w:val="es-ES"/>
        </w:rPr>
        <w:t>canía al hecho”, en sus palabras: “der sozialpsychologisch gefährliche Eindruck der Solidarisierung [kann] schon durch die besondere ‚Tatnähe’ entstehen” (pp. 57 y 58). Al contrario, cuando el hecho punible es inminente, los fundamentos arriba señal</w:t>
      </w:r>
      <w:r w:rsidRPr="00262FED">
        <w:rPr>
          <w:rFonts w:ascii="Myriad Pro" w:hAnsi="Myriad Pro"/>
          <w:sz w:val="24"/>
          <w:szCs w:val="24"/>
          <w:lang w:val="es-ES"/>
        </w:rPr>
        <w:t>a</w:t>
      </w:r>
      <w:r w:rsidRPr="00262FED">
        <w:rPr>
          <w:rFonts w:ascii="Myriad Pro" w:hAnsi="Myriad Pro"/>
          <w:sz w:val="24"/>
          <w:szCs w:val="24"/>
          <w:lang w:val="es-ES"/>
        </w:rPr>
        <w:t xml:space="preserve">dos para la permisión del suministro del instrumento delictivo no concurren, dado que en ese estadio un instrumento generalmente disponible puede ser decisivo y la realización del hecho punible depender simplemente de un distribuidor confiable (Puppe, 2017, no. 174). </w:t>
      </w:r>
    </w:p>
    <w:p w14:paraId="002BE3B7" w14:textId="77777777" w:rsidR="00262FED" w:rsidRPr="00262FED" w:rsidRDefault="00262FED" w:rsidP="00262FED">
      <w:pPr>
        <w:spacing w:before="200"/>
        <w:jc w:val="both"/>
        <w:rPr>
          <w:rFonts w:ascii="Myriad Pro" w:hAnsi="Myriad Pro"/>
          <w:sz w:val="24"/>
          <w:szCs w:val="24"/>
          <w:lang w:val="es-ES"/>
        </w:rPr>
      </w:pPr>
      <w:r w:rsidRPr="00262FED">
        <w:rPr>
          <w:rFonts w:ascii="Myriad Pro" w:hAnsi="Myriad Pro"/>
          <w:sz w:val="24"/>
          <w:szCs w:val="24"/>
          <w:lang w:val="es-ES"/>
        </w:rPr>
        <w:t xml:space="preserve"> </w:t>
      </w:r>
      <w:r w:rsidRPr="00262FED">
        <w:rPr>
          <w:rFonts w:ascii="Myriad Pro" w:hAnsi="Myriad Pro"/>
          <w:sz w:val="24"/>
          <w:szCs w:val="24"/>
          <w:lang w:val="es-ES"/>
        </w:rPr>
        <w:tab/>
        <w:t>La objeción que habitualmente es levantada en contra de estos criterios, se encuentra referida a que situar la atención en la disponibilidad de un bien implicaría considerar cursos causales hipotéticos ilegítimos para sostener que un comport</w:t>
      </w:r>
      <w:r w:rsidRPr="00262FED">
        <w:rPr>
          <w:rFonts w:ascii="Myriad Pro" w:hAnsi="Myriad Pro"/>
          <w:sz w:val="24"/>
          <w:szCs w:val="24"/>
          <w:lang w:val="es-ES"/>
        </w:rPr>
        <w:t>a</w:t>
      </w:r>
      <w:r w:rsidRPr="00262FED">
        <w:rPr>
          <w:rFonts w:ascii="Myriad Pro" w:hAnsi="Myriad Pro"/>
          <w:sz w:val="24"/>
          <w:szCs w:val="24"/>
          <w:lang w:val="es-ES"/>
        </w:rPr>
        <w:t>miento antijurídico es impune (Roxin, 2003, p. 210; de acuerdo Beckemper, 2001, p. 164) . En este sentido, se sostiene que la disponibilidad general de bienes y servicios debiese ser irrelevante para excluir la imputación penal. Kindhäuser (2007a, p. 367) rechaza esta objeción, argumentando que un criterio formulado en esos té</w:t>
      </w:r>
      <w:r w:rsidRPr="00262FED">
        <w:rPr>
          <w:rFonts w:ascii="Myriad Pro" w:hAnsi="Myriad Pro"/>
          <w:sz w:val="24"/>
          <w:szCs w:val="24"/>
          <w:lang w:val="es-ES"/>
        </w:rPr>
        <w:t>r</w:t>
      </w:r>
      <w:r w:rsidRPr="00262FED">
        <w:rPr>
          <w:rFonts w:ascii="Myriad Pro" w:hAnsi="Myriad Pro"/>
          <w:sz w:val="24"/>
          <w:szCs w:val="24"/>
          <w:lang w:val="es-ES"/>
        </w:rPr>
        <w:t>minos no recurre ilegítimamente a cursos causales hipotéticos, sino que se mueve dentro del ámbito normativo de los principios de la imputación objetiva (en el mi</w:t>
      </w:r>
      <w:r w:rsidRPr="00262FED">
        <w:rPr>
          <w:rFonts w:ascii="Myriad Pro" w:hAnsi="Myriad Pro"/>
          <w:sz w:val="24"/>
          <w:szCs w:val="24"/>
          <w:lang w:val="es-ES"/>
        </w:rPr>
        <w:t>s</w:t>
      </w:r>
      <w:r w:rsidRPr="00262FED">
        <w:rPr>
          <w:rFonts w:ascii="Myriad Pro" w:hAnsi="Myriad Pro"/>
          <w:sz w:val="24"/>
          <w:szCs w:val="24"/>
          <w:lang w:val="es-ES"/>
        </w:rPr>
        <w:t>mo sentido también Greco, 2015. p. 5; Bloy, 1985, p. 274 y ss). Una argumentación similar sigue Löwe-Krahl (1995, pp. 205 y 206), al sostener que los cursos causales hipotéticos pueden erigirse como criterio decisivo en el marco de la imputación o</w:t>
      </w:r>
      <w:r w:rsidRPr="00262FED">
        <w:rPr>
          <w:rFonts w:ascii="Myriad Pro" w:hAnsi="Myriad Pro"/>
          <w:sz w:val="24"/>
          <w:szCs w:val="24"/>
          <w:lang w:val="es-ES"/>
        </w:rPr>
        <w:t>b</w:t>
      </w:r>
      <w:r w:rsidRPr="00262FED">
        <w:rPr>
          <w:rFonts w:ascii="Myriad Pro" w:hAnsi="Myriad Pro"/>
          <w:sz w:val="24"/>
          <w:szCs w:val="24"/>
          <w:lang w:val="es-ES"/>
        </w:rPr>
        <w:t>jetiva, dado que a través de contribuciones estandarizadas no se realiza un riesgo jurídicamente desaprobado para el bien jurídico (Kudlich, 2004, p. 366). Al contrario, si el aporte constituye una adaptación al plan delictivo del autor, entonces se verificaría una complicidad punible. Otra objeción en contra de la propuesta teórica de Puppe es levantada por Kudlich (2004, p. 456), al afirmar que el momento decisivo no puede ser el de la prestación de la colaboración, sino cuándo ella es utilizada. Roxin (1995, pp. 514 y 515) rechaza también este criterio apropósito de la crítica que le formula al criterio de la “cercanía al hecho” desarrollado por la teoría de Schumann (1986). Pese a que esa crítica tiene a su favor el carácter accesorio de la complicidad, es impre</w:t>
      </w:r>
      <w:r w:rsidRPr="00262FED">
        <w:rPr>
          <w:rFonts w:ascii="Myriad Pro" w:hAnsi="Myriad Pro"/>
          <w:sz w:val="24"/>
          <w:szCs w:val="24"/>
          <w:lang w:val="es-ES"/>
        </w:rPr>
        <w:t>s</w:t>
      </w:r>
      <w:r w:rsidRPr="00262FED">
        <w:rPr>
          <w:rFonts w:ascii="Myriad Pro" w:hAnsi="Myriad Pro"/>
          <w:sz w:val="24"/>
          <w:szCs w:val="24"/>
          <w:lang w:val="es-ES"/>
        </w:rPr>
        <w:t xml:space="preserve">cindible enfatizar que la acción debe ser vista al momento de su ejecución como una prestación de ayuda, dado que dicho elemento es parte de la conducta prevista en la norma que extiende la punibilidad sobre la complicidad y, al mismo tiempo, se erige como el fundamento para atribuir responsabilidad penal al cómplice por el delito cometido por otro.  </w:t>
      </w:r>
    </w:p>
    <w:p w14:paraId="13489EAC" w14:textId="77777777" w:rsidR="008B1EED" w:rsidRDefault="008B1EED" w:rsidP="008B1EED">
      <w:pPr>
        <w:spacing w:after="0" w:line="240" w:lineRule="auto"/>
      </w:pPr>
    </w:p>
    <w:p w14:paraId="55569090" w14:textId="77777777" w:rsidR="00262FED" w:rsidRPr="008B1EED" w:rsidRDefault="00262FED" w:rsidP="008B1EED">
      <w:pPr>
        <w:spacing w:after="0" w:line="240" w:lineRule="auto"/>
        <w:jc w:val="center"/>
        <w:rPr>
          <w:rFonts w:ascii="Myriad Pro" w:hAnsi="Myriad Pro"/>
          <w:b/>
        </w:rPr>
      </w:pPr>
      <w:r w:rsidRPr="008B1EED">
        <w:rPr>
          <w:rFonts w:ascii="Myriad Pro" w:hAnsi="Myriad Pro"/>
          <w:b/>
        </w:rPr>
        <w:t>1.1.4.3. La apelación a la prohibición de regreso como límite decisivo para la punibil</w:t>
      </w:r>
      <w:r w:rsidRPr="008B1EED">
        <w:rPr>
          <w:rFonts w:ascii="Myriad Pro" w:hAnsi="Myriad Pro"/>
          <w:b/>
        </w:rPr>
        <w:t>i</w:t>
      </w:r>
      <w:r w:rsidRPr="008B1EED">
        <w:rPr>
          <w:rFonts w:ascii="Myriad Pro" w:hAnsi="Myriad Pro"/>
          <w:b/>
        </w:rPr>
        <w:t>dad del partícipe</w:t>
      </w:r>
    </w:p>
    <w:p w14:paraId="63FBDB8A" w14:textId="77777777" w:rsidR="008B1EED" w:rsidRPr="008B1EED" w:rsidRDefault="008B1EED" w:rsidP="008B1EED">
      <w:pPr>
        <w:spacing w:after="0" w:line="240" w:lineRule="auto"/>
        <w:rPr>
          <w:u w:val="single"/>
        </w:rPr>
      </w:pPr>
    </w:p>
    <w:p w14:paraId="6C27103A" w14:textId="77777777" w:rsidR="00262FED" w:rsidRPr="00262FED" w:rsidRDefault="00262FED" w:rsidP="00262FED">
      <w:pPr>
        <w:pStyle w:val="Textonotapie"/>
        <w:spacing w:before="200" w:after="200" w:line="276" w:lineRule="auto"/>
        <w:contextualSpacing/>
        <w:jc w:val="both"/>
        <w:rPr>
          <w:rFonts w:ascii="Myriad Pro" w:hAnsi="Myriad Pro"/>
          <w:bCs/>
          <w:sz w:val="24"/>
          <w:szCs w:val="24"/>
          <w:lang w:val="es-ES"/>
        </w:rPr>
      </w:pPr>
      <w:r w:rsidRPr="00262FED">
        <w:rPr>
          <w:rFonts w:ascii="Myriad Pro" w:hAnsi="Myriad Pro"/>
          <w:sz w:val="24"/>
          <w:szCs w:val="24"/>
          <w:lang w:val="es-ES"/>
        </w:rPr>
        <w:lastRenderedPageBreak/>
        <w:tab/>
        <w:t xml:space="preserve">Es bastante habitual utilizar la distinción entre la nueva y la vieja teoría de la prohibición de regreso. Así, por ejemplo, </w:t>
      </w:r>
      <w:r w:rsidRPr="00262FED">
        <w:rPr>
          <w:rFonts w:ascii="Myriad Pro" w:hAnsi="Myriad Pro"/>
          <w:sz w:val="24"/>
          <w:szCs w:val="24"/>
        </w:rPr>
        <w:t>Kudlich</w:t>
      </w:r>
      <w:r w:rsidRPr="00262FED">
        <w:rPr>
          <w:rFonts w:ascii="Myriad Pro" w:hAnsi="Myriad Pro" w:cs="Calibri (Cuerpo en alfabeto com"/>
          <w:smallCaps/>
          <w:sz w:val="24"/>
          <w:szCs w:val="24"/>
        </w:rPr>
        <w:t xml:space="preserve"> (</w:t>
      </w:r>
      <w:r w:rsidRPr="00262FED">
        <w:rPr>
          <w:rFonts w:ascii="Myriad Pro" w:hAnsi="Myriad Pro"/>
          <w:sz w:val="24"/>
          <w:szCs w:val="24"/>
        </w:rPr>
        <w:t>2004, p.</w:t>
      </w:r>
      <w:r w:rsidRPr="00262FED">
        <w:rPr>
          <w:rFonts w:ascii="Myriad Pro" w:hAnsi="Myriad Pro" w:cs="Calibri (Cuerpo en alfabeto com"/>
          <w:smallCaps/>
          <w:sz w:val="24"/>
          <w:szCs w:val="24"/>
        </w:rPr>
        <w:t xml:space="preserve"> </w:t>
      </w:r>
      <w:r w:rsidRPr="00262FED">
        <w:rPr>
          <w:rFonts w:ascii="Myriad Pro" w:hAnsi="Myriad Pro" w:cs="Times New Roman"/>
          <w:sz w:val="24"/>
          <w:szCs w:val="24"/>
          <w:lang w:val="es-ES"/>
        </w:rPr>
        <w:t>376 y ss.). De acuerdo a Roxin (1989, p. 177 y ss.), la antigua teoría de la prohibición de regreso postula que la cooperación imprudente en una realización dolosa y plenamente responsable de un tipo penal es impune</w:t>
      </w:r>
      <w:r w:rsidRPr="00262FED">
        <w:rPr>
          <w:rFonts w:ascii="Myriad Pro" w:hAnsi="Myriad Pro" w:cs="Times New Roman"/>
          <w:sz w:val="24"/>
          <w:szCs w:val="24"/>
        </w:rPr>
        <w:t xml:space="preserve">. </w:t>
      </w:r>
      <w:r w:rsidRPr="00262FED">
        <w:rPr>
          <w:rFonts w:ascii="Myriad Pro" w:hAnsi="Myriad Pro" w:cs="Times New Roman"/>
          <w:sz w:val="24"/>
          <w:szCs w:val="24"/>
          <w:lang w:val="es-ES"/>
        </w:rPr>
        <w:t>Aquí solo es tratada la nueva teoría, dado que ella es situada como una consecuencia de la teoría de la imputación objetiva. En este sentido, J</w:t>
      </w:r>
      <w:r w:rsidRPr="00262FED">
        <w:rPr>
          <w:rFonts w:ascii="Myriad Pro" w:hAnsi="Myriad Pro" w:cs="Times New Roman"/>
          <w:sz w:val="24"/>
          <w:szCs w:val="24"/>
          <w:lang w:val="es-ES"/>
        </w:rPr>
        <w:t>a</w:t>
      </w:r>
      <w:r w:rsidRPr="00262FED">
        <w:rPr>
          <w:rFonts w:ascii="Myriad Pro" w:hAnsi="Myriad Pro" w:cs="Times New Roman"/>
          <w:sz w:val="24"/>
          <w:szCs w:val="24"/>
          <w:lang w:val="es-ES"/>
        </w:rPr>
        <w:t>kobs (1977) afirma que la prohibición de regreso es el reverso de la accesoriedad y, con ello, también de la creación de riesgo no permitido. Sin embargo, esta nueva formulación de la teoría de la prohibición de regreso tiene una pre-historia. Previ</w:t>
      </w:r>
      <w:r w:rsidRPr="00262FED">
        <w:rPr>
          <w:rFonts w:ascii="Myriad Pro" w:hAnsi="Myriad Pro" w:cs="Times New Roman"/>
          <w:sz w:val="24"/>
          <w:szCs w:val="24"/>
          <w:lang w:val="es-ES"/>
        </w:rPr>
        <w:t>a</w:t>
      </w:r>
      <w:r w:rsidRPr="00262FED">
        <w:rPr>
          <w:rFonts w:ascii="Myriad Pro" w:hAnsi="Myriad Pro" w:cs="Times New Roman"/>
          <w:sz w:val="24"/>
          <w:szCs w:val="24"/>
          <w:lang w:val="es-ES"/>
        </w:rPr>
        <w:t xml:space="preserve">mente en este sentido ver </w:t>
      </w:r>
      <w:r w:rsidRPr="00262FED">
        <w:rPr>
          <w:rFonts w:ascii="Myriad Pro" w:hAnsi="Myriad Pro"/>
          <w:sz w:val="24"/>
          <w:szCs w:val="24"/>
        </w:rPr>
        <w:t>Naucke</w:t>
      </w:r>
      <w:r w:rsidRPr="00262FED">
        <w:rPr>
          <w:rFonts w:ascii="Myriad Pro" w:hAnsi="Myriad Pro" w:cs="Times New Roman"/>
          <w:sz w:val="24"/>
          <w:szCs w:val="24"/>
        </w:rPr>
        <w:t xml:space="preserve"> (1964, </w:t>
      </w:r>
      <w:r w:rsidRPr="00262FED">
        <w:rPr>
          <w:rFonts w:ascii="Myriad Pro" w:hAnsi="Myriad Pro" w:cs="Times New Roman"/>
          <w:sz w:val="24"/>
          <w:szCs w:val="24"/>
          <w:lang w:val="es-ES"/>
        </w:rPr>
        <w:t xml:space="preserve">p. 427 y 428). </w:t>
      </w:r>
      <w:r w:rsidRPr="00262FED">
        <w:rPr>
          <w:rFonts w:ascii="Myriad Pro" w:hAnsi="Myriad Pro"/>
          <w:sz w:val="24"/>
          <w:szCs w:val="24"/>
          <w:lang w:val="es-ES"/>
        </w:rPr>
        <w:t>Sobre la antigua y nueva te</w:t>
      </w:r>
      <w:r w:rsidRPr="00262FED">
        <w:rPr>
          <w:rFonts w:ascii="Myriad Pro" w:hAnsi="Myriad Pro"/>
          <w:sz w:val="24"/>
          <w:szCs w:val="24"/>
          <w:lang w:val="es-ES"/>
        </w:rPr>
        <w:t>o</w:t>
      </w:r>
      <w:r w:rsidRPr="00262FED">
        <w:rPr>
          <w:rFonts w:ascii="Myriad Pro" w:hAnsi="Myriad Pro"/>
          <w:sz w:val="24"/>
          <w:szCs w:val="24"/>
          <w:lang w:val="es-ES"/>
        </w:rPr>
        <w:t xml:space="preserve">ría de la prohibición de regreso ver también </w:t>
      </w:r>
      <w:r w:rsidRPr="00262FED">
        <w:rPr>
          <w:rFonts w:ascii="Myriad Pro" w:hAnsi="Myriad Pro"/>
          <w:sz w:val="24"/>
          <w:szCs w:val="24"/>
        </w:rPr>
        <w:t>Bloy</w:t>
      </w:r>
      <w:r w:rsidRPr="00262FED">
        <w:rPr>
          <w:rFonts w:ascii="Myriad Pro" w:hAnsi="Myriad Pro"/>
          <w:sz w:val="24"/>
          <w:szCs w:val="24"/>
          <w:lang w:val="es-ES"/>
        </w:rPr>
        <w:t xml:space="preserve"> (1985, p.</w:t>
      </w:r>
      <w:r w:rsidRPr="00262FED">
        <w:rPr>
          <w:rFonts w:ascii="Myriad Pro" w:hAnsi="Myriad Pro"/>
          <w:bCs/>
          <w:sz w:val="24"/>
          <w:szCs w:val="24"/>
        </w:rPr>
        <w:t xml:space="preserve"> </w:t>
      </w:r>
      <w:r w:rsidRPr="00262FED">
        <w:rPr>
          <w:rFonts w:ascii="Myriad Pro" w:hAnsi="Myriad Pro"/>
          <w:bCs/>
          <w:sz w:val="24"/>
          <w:szCs w:val="24"/>
          <w:lang w:val="es-ES"/>
        </w:rPr>
        <w:t xml:space="preserve">130 y ss.). Entre nosotros, un interesante análisis de evolución y actualidad de la teoría de la prohibición de regreso se encuentra en </w:t>
      </w:r>
      <w:r w:rsidRPr="00262FED">
        <w:rPr>
          <w:rFonts w:ascii="Myriad Pro" w:hAnsi="Myriad Pro"/>
          <w:sz w:val="24"/>
          <w:szCs w:val="24"/>
        </w:rPr>
        <w:t>Ananías Zaror</w:t>
      </w:r>
      <w:r w:rsidRPr="00262FED">
        <w:rPr>
          <w:rFonts w:ascii="Myriad Pro" w:hAnsi="Myriad Pro"/>
          <w:bCs/>
          <w:sz w:val="24"/>
          <w:szCs w:val="24"/>
          <w:lang w:val="es-ES"/>
        </w:rPr>
        <w:t xml:space="preserve"> (2010).</w:t>
      </w:r>
    </w:p>
    <w:p w14:paraId="31A666E6" w14:textId="77777777" w:rsidR="00262FED" w:rsidRPr="00262FED" w:rsidRDefault="00262FED" w:rsidP="00262FED">
      <w:pPr>
        <w:spacing w:before="200"/>
        <w:jc w:val="both"/>
        <w:rPr>
          <w:rFonts w:ascii="Garamond" w:hAnsi="Garamond"/>
          <w:bCs/>
          <w:sz w:val="24"/>
          <w:szCs w:val="24"/>
          <w:lang w:val="es-ES"/>
        </w:rPr>
      </w:pPr>
      <w:r w:rsidRPr="00262FED">
        <w:rPr>
          <w:rFonts w:ascii="Garamond" w:hAnsi="Garamond"/>
          <w:sz w:val="24"/>
          <w:szCs w:val="24"/>
          <w:lang w:val="es-ES"/>
        </w:rPr>
        <w:tab/>
      </w:r>
      <w:r w:rsidRPr="00262FED">
        <w:rPr>
          <w:rFonts w:ascii="Myriad Pro" w:hAnsi="Myriad Pro"/>
          <w:sz w:val="24"/>
          <w:szCs w:val="24"/>
          <w:lang w:val="es-ES"/>
        </w:rPr>
        <w:t xml:space="preserve">La apelación a la nueva teoría de la prohibición de regreso, es utilizada para restringir la imputación objetiva de la acción colaborativa con el resultado lesivo. </w:t>
      </w:r>
      <w:r w:rsidRPr="00262FED">
        <w:rPr>
          <w:rFonts w:ascii="Myriad Pro" w:hAnsi="Myriad Pro"/>
          <w:iCs/>
          <w:sz w:val="24"/>
          <w:szCs w:val="24"/>
          <w:lang w:val="es-ES"/>
        </w:rPr>
        <w:t>Jakobs (1977 y 2014)</w:t>
      </w:r>
      <w:r w:rsidRPr="00262FED">
        <w:rPr>
          <w:rStyle w:val="Ancladenotaalpie"/>
          <w:rFonts w:ascii="Myriad Pro" w:hAnsi="Myriad Pro"/>
          <w:sz w:val="24"/>
          <w:szCs w:val="24"/>
          <w:lang w:val="es-ES"/>
        </w:rPr>
        <w:footnoteReference w:id="20"/>
      </w:r>
      <w:r w:rsidRPr="00262FED">
        <w:rPr>
          <w:rFonts w:ascii="Myriad Pro" w:hAnsi="Myriad Pro"/>
          <w:i/>
          <w:sz w:val="24"/>
          <w:szCs w:val="24"/>
          <w:lang w:val="es-ES"/>
        </w:rPr>
        <w:t xml:space="preserve"> </w:t>
      </w:r>
      <w:r w:rsidRPr="00262FED">
        <w:rPr>
          <w:rFonts w:ascii="Myriad Pro" w:hAnsi="Myriad Pro"/>
          <w:sz w:val="24"/>
          <w:szCs w:val="24"/>
          <w:lang w:val="es-ES"/>
        </w:rPr>
        <w:t>basa su opinión en su teoría general del hecho punible y, e</w:t>
      </w:r>
      <w:r w:rsidRPr="00262FED">
        <w:rPr>
          <w:rFonts w:ascii="Myriad Pro" w:hAnsi="Myriad Pro"/>
          <w:sz w:val="24"/>
          <w:szCs w:val="24"/>
          <w:lang w:val="es-ES"/>
        </w:rPr>
        <w:t>s</w:t>
      </w:r>
      <w:r w:rsidRPr="00262FED">
        <w:rPr>
          <w:rFonts w:ascii="Myriad Pro" w:hAnsi="Myriad Pro"/>
          <w:sz w:val="24"/>
          <w:szCs w:val="24"/>
          <w:lang w:val="es-ES"/>
        </w:rPr>
        <w:t xml:space="preserve">pecialmente, en el concepto de </w:t>
      </w:r>
      <w:r w:rsidRPr="00262FED">
        <w:rPr>
          <w:rFonts w:ascii="Myriad Pro" w:hAnsi="Myriad Pro"/>
          <w:iCs/>
          <w:sz w:val="24"/>
          <w:szCs w:val="24"/>
          <w:lang w:val="es-ES"/>
        </w:rPr>
        <w:t>competencia (Jakobs, 1977, p. 1 y ss.; Jakobs, 1996, p. 253 y ss.; Jakobs, 1993).</w:t>
      </w:r>
      <w:r w:rsidRPr="00262FED">
        <w:rPr>
          <w:rFonts w:ascii="Myriad Pro" w:hAnsi="Myriad Pro"/>
          <w:sz w:val="24"/>
          <w:szCs w:val="24"/>
          <w:lang w:val="es-ES"/>
        </w:rPr>
        <w:t xml:space="preserve">  Es competente por la evitación de un resultado antijurídico la persona que, para el caso de una omisión, sería garante de la evitación del result</w:t>
      </w:r>
      <w:r w:rsidRPr="00262FED">
        <w:rPr>
          <w:rFonts w:ascii="Myriad Pro" w:hAnsi="Myriad Pro"/>
          <w:sz w:val="24"/>
          <w:szCs w:val="24"/>
          <w:lang w:val="es-ES"/>
        </w:rPr>
        <w:t>a</w:t>
      </w:r>
      <w:r w:rsidRPr="00262FED">
        <w:rPr>
          <w:rFonts w:ascii="Myriad Pro" w:hAnsi="Myriad Pro"/>
          <w:sz w:val="24"/>
          <w:szCs w:val="24"/>
          <w:lang w:val="es-ES"/>
        </w:rPr>
        <w:t>do lesivo. La moderna teoría de la prohibición de regreso funciona aquí como la co</w:t>
      </w:r>
      <w:r w:rsidRPr="00262FED">
        <w:rPr>
          <w:rFonts w:ascii="Myriad Pro" w:hAnsi="Myriad Pro"/>
          <w:sz w:val="24"/>
          <w:szCs w:val="24"/>
          <w:lang w:val="es-ES"/>
        </w:rPr>
        <w:t>n</w:t>
      </w:r>
      <w:r w:rsidRPr="00262FED">
        <w:rPr>
          <w:rFonts w:ascii="Myriad Pro" w:hAnsi="Myriad Pro"/>
          <w:sz w:val="24"/>
          <w:szCs w:val="24"/>
          <w:lang w:val="es-ES"/>
        </w:rPr>
        <w:t>tracara de la competencia (</w:t>
      </w:r>
      <w:r w:rsidRPr="00262FED">
        <w:rPr>
          <w:rFonts w:ascii="Myriad Pro" w:hAnsi="Myriad Pro"/>
          <w:sz w:val="24"/>
          <w:szCs w:val="24"/>
        </w:rPr>
        <w:t xml:space="preserve">Lesch, 2014, p. 463) </w:t>
      </w:r>
      <w:r w:rsidRPr="00262FED">
        <w:rPr>
          <w:rFonts w:ascii="Myriad Pro" w:hAnsi="Myriad Pro"/>
          <w:sz w:val="24"/>
          <w:szCs w:val="24"/>
          <w:lang w:val="es-ES"/>
        </w:rPr>
        <w:t>o la accesoriedad (Jakobs, 1996, p. 265), es decir, la incompetencia por el comportamiento de otro. Con palabras de J</w:t>
      </w:r>
      <w:r w:rsidRPr="00262FED">
        <w:rPr>
          <w:rFonts w:ascii="Myriad Pro" w:hAnsi="Myriad Pro"/>
          <w:sz w:val="24"/>
          <w:szCs w:val="24"/>
          <w:lang w:val="es-ES"/>
        </w:rPr>
        <w:t>a</w:t>
      </w:r>
      <w:r w:rsidRPr="00262FED">
        <w:rPr>
          <w:rFonts w:ascii="Myriad Pro" w:hAnsi="Myriad Pro"/>
          <w:sz w:val="24"/>
          <w:szCs w:val="24"/>
          <w:lang w:val="es-ES"/>
        </w:rPr>
        <w:t>kobs (1996): “Das Regre</w:t>
      </w:r>
      <w:r w:rsidRPr="00262FED">
        <w:rPr>
          <w:rFonts w:ascii="Myriad Pro" w:hAnsi="Myriad Pro"/>
          <w:bCs/>
          <w:sz w:val="24"/>
          <w:szCs w:val="24"/>
          <w:lang w:val="es-ES"/>
        </w:rPr>
        <w:t xml:space="preserve">ßverbot hebt </w:t>
      </w:r>
      <w:r w:rsidRPr="00262FED">
        <w:rPr>
          <w:rFonts w:ascii="Myriad Pro" w:hAnsi="Myriad Pro"/>
          <w:bCs/>
          <w:i/>
          <w:sz w:val="24"/>
          <w:szCs w:val="24"/>
          <w:lang w:val="es-ES"/>
        </w:rPr>
        <w:t xml:space="preserve">bestehende </w:t>
      </w:r>
      <w:r w:rsidRPr="00262FED">
        <w:rPr>
          <w:rFonts w:ascii="Myriad Pro" w:hAnsi="Myriad Pro"/>
          <w:bCs/>
          <w:sz w:val="24"/>
          <w:szCs w:val="24"/>
          <w:lang w:val="es-ES"/>
        </w:rPr>
        <w:t xml:space="preserve">Pflichten nicht auf, sondern erklärt nur das isolierte aktuelle Verhalten als </w:t>
      </w:r>
      <w:r w:rsidRPr="00262FED">
        <w:rPr>
          <w:rFonts w:ascii="Myriad Pro" w:hAnsi="Myriad Pro"/>
          <w:bCs/>
          <w:i/>
          <w:sz w:val="24"/>
          <w:szCs w:val="24"/>
          <w:lang w:val="es-ES"/>
        </w:rPr>
        <w:t>per se</w:t>
      </w:r>
      <w:r w:rsidRPr="00262FED">
        <w:rPr>
          <w:rFonts w:ascii="Myriad Pro" w:hAnsi="Myriad Pro"/>
          <w:bCs/>
          <w:sz w:val="24"/>
          <w:szCs w:val="24"/>
          <w:lang w:val="es-ES"/>
        </w:rPr>
        <w:t xml:space="preserve"> nicht zur Haftung hinreichend”</w:t>
      </w:r>
      <w:r w:rsidRPr="00262FED">
        <w:rPr>
          <w:rFonts w:ascii="Myriad Pro" w:hAnsi="Myriad Pro"/>
          <w:sz w:val="24"/>
          <w:szCs w:val="24"/>
          <w:lang w:val="es-ES"/>
        </w:rPr>
        <w:t xml:space="preserve"> (p. 263)</w:t>
      </w:r>
      <w:r w:rsidRPr="00262FED">
        <w:rPr>
          <w:rStyle w:val="Refdenotaalpie"/>
          <w:rFonts w:ascii="Myriad Pro" w:hAnsi="Myriad Pro"/>
          <w:bCs/>
          <w:sz w:val="24"/>
          <w:szCs w:val="24"/>
          <w:lang w:val="es-ES"/>
        </w:rPr>
        <w:footnoteReference w:id="21"/>
      </w:r>
      <w:r w:rsidRPr="00262FED">
        <w:rPr>
          <w:rFonts w:ascii="Myriad Pro" w:hAnsi="Myriad Pro"/>
          <w:bCs/>
          <w:sz w:val="24"/>
          <w:szCs w:val="24"/>
          <w:lang w:val="es-ES"/>
        </w:rPr>
        <w:t>, u</w:t>
      </w:r>
      <w:r w:rsidRPr="00262FED">
        <w:rPr>
          <w:rFonts w:ascii="Myriad Pro" w:hAnsi="Myriad Pro"/>
          <w:sz w:val="24"/>
          <w:szCs w:val="24"/>
          <w:lang w:val="es-ES"/>
        </w:rPr>
        <w:t xml:space="preserve">na formulación similar se encuentra Jakobs (1993, p. 698). </w:t>
      </w:r>
      <w:r w:rsidRPr="00262FED">
        <w:rPr>
          <w:rFonts w:ascii="Myriad Pro" w:hAnsi="Myriad Pro"/>
          <w:bCs/>
          <w:sz w:val="24"/>
          <w:szCs w:val="24"/>
          <w:lang w:val="es-ES"/>
        </w:rPr>
        <w:t>Para fundar la respons</w:t>
      </w:r>
      <w:r w:rsidRPr="00262FED">
        <w:rPr>
          <w:rFonts w:ascii="Myriad Pro" w:hAnsi="Myriad Pro"/>
          <w:bCs/>
          <w:sz w:val="24"/>
          <w:szCs w:val="24"/>
          <w:lang w:val="es-ES"/>
        </w:rPr>
        <w:t>a</w:t>
      </w:r>
      <w:r w:rsidRPr="00262FED">
        <w:rPr>
          <w:rFonts w:ascii="Myriad Pro" w:hAnsi="Myriad Pro"/>
          <w:bCs/>
          <w:sz w:val="24"/>
          <w:szCs w:val="24"/>
          <w:lang w:val="es-ES"/>
        </w:rPr>
        <w:t>bilidad, es necesario que sea posible sostener una competencia del colaborador s</w:t>
      </w:r>
      <w:r w:rsidRPr="00262FED">
        <w:rPr>
          <w:rFonts w:ascii="Myriad Pro" w:hAnsi="Myriad Pro"/>
          <w:bCs/>
          <w:sz w:val="24"/>
          <w:szCs w:val="24"/>
          <w:lang w:val="es-ES"/>
        </w:rPr>
        <w:t>o</w:t>
      </w:r>
      <w:r w:rsidRPr="00262FED">
        <w:rPr>
          <w:rFonts w:ascii="Myriad Pro" w:hAnsi="Myriad Pro"/>
          <w:bCs/>
          <w:sz w:val="24"/>
          <w:szCs w:val="24"/>
          <w:lang w:val="es-ES"/>
        </w:rPr>
        <w:t>bre el resultado, y dicha competencia existiría cuando el comportamiento exprese una comunidad normativa entre el autor y el colaborador, esto es, si existe un sent</w:t>
      </w:r>
      <w:r w:rsidRPr="00262FED">
        <w:rPr>
          <w:rFonts w:ascii="Myriad Pro" w:hAnsi="Myriad Pro"/>
          <w:bCs/>
          <w:sz w:val="24"/>
          <w:szCs w:val="24"/>
          <w:lang w:val="es-ES"/>
        </w:rPr>
        <w:t>i</w:t>
      </w:r>
      <w:r w:rsidRPr="00262FED">
        <w:rPr>
          <w:rFonts w:ascii="Myriad Pro" w:hAnsi="Myriad Pro"/>
          <w:bCs/>
          <w:sz w:val="24"/>
          <w:szCs w:val="24"/>
          <w:lang w:val="es-ES"/>
        </w:rPr>
        <w:t>do conjunto de la acción (Jakobs, 1977, p. 25), u</w:t>
      </w:r>
      <w:r w:rsidRPr="00262FED">
        <w:rPr>
          <w:rFonts w:ascii="Myriad Pro" w:hAnsi="Myriad Pro"/>
          <w:sz w:val="24"/>
          <w:szCs w:val="24"/>
          <w:lang w:val="es-ES"/>
        </w:rPr>
        <w:t xml:space="preserve">n camino similar aparenta seguir </w:t>
      </w:r>
      <w:r w:rsidRPr="00262FED">
        <w:rPr>
          <w:rFonts w:ascii="Myriad Pro" w:hAnsi="Myriad Pro"/>
          <w:sz w:val="24"/>
          <w:szCs w:val="24"/>
        </w:rPr>
        <w:t>Duff (1990, p. 175 y ss.)</w:t>
      </w:r>
      <w:r w:rsidRPr="00262FED">
        <w:rPr>
          <w:rFonts w:ascii="Myriad Pro" w:hAnsi="Myriad Pro"/>
          <w:sz w:val="24"/>
          <w:szCs w:val="24"/>
          <w:lang w:val="es-ES"/>
        </w:rPr>
        <w:t>, pese a que la discusión anglosajona continúa bajo la idea de i</w:t>
      </w:r>
      <w:r w:rsidRPr="00262FED">
        <w:rPr>
          <w:rFonts w:ascii="Myriad Pro" w:hAnsi="Myriad Pro"/>
          <w:sz w:val="24"/>
          <w:szCs w:val="24"/>
          <w:lang w:val="es-ES"/>
        </w:rPr>
        <w:t>n</w:t>
      </w:r>
      <w:r w:rsidRPr="00262FED">
        <w:rPr>
          <w:rFonts w:ascii="Myriad Pro" w:hAnsi="Myriad Pro"/>
          <w:sz w:val="24"/>
          <w:szCs w:val="24"/>
          <w:lang w:val="es-ES"/>
        </w:rPr>
        <w:t>tencionalidad de quien presta la colaboración, cuando de la mano de casos equiv</w:t>
      </w:r>
      <w:r w:rsidRPr="00262FED">
        <w:rPr>
          <w:rFonts w:ascii="Myriad Pro" w:hAnsi="Myriad Pro"/>
          <w:sz w:val="24"/>
          <w:szCs w:val="24"/>
          <w:lang w:val="es-ES"/>
        </w:rPr>
        <w:t>a</w:t>
      </w:r>
      <w:r w:rsidRPr="00262FED">
        <w:rPr>
          <w:rFonts w:ascii="Myriad Pro" w:hAnsi="Myriad Pro"/>
          <w:sz w:val="24"/>
          <w:szCs w:val="24"/>
          <w:lang w:val="es-ES"/>
        </w:rPr>
        <w:t>lentes argumenta que el rol de ciudadano no puede implicar un deber de prevenir el daño a terceros. Esta intencionalidad penalmente relevante solo puede ser imputada si el colaborador hace algo más que su trabajo normal</w:t>
      </w:r>
      <w:r w:rsidRPr="00262FED">
        <w:rPr>
          <w:rFonts w:ascii="Myriad Pro" w:hAnsi="Myriad Pro"/>
          <w:bCs/>
          <w:sz w:val="24"/>
          <w:szCs w:val="24"/>
          <w:lang w:val="es-ES"/>
        </w:rPr>
        <w:t xml:space="preserve">. El trasfondo de la prohibición de regreso, radica en que esta limitación de competencias por el comportamiento de </w:t>
      </w:r>
      <w:r w:rsidRPr="00262FED">
        <w:rPr>
          <w:rFonts w:ascii="Myriad Pro" w:hAnsi="Myriad Pro"/>
          <w:bCs/>
          <w:sz w:val="24"/>
          <w:szCs w:val="24"/>
          <w:lang w:val="es-ES"/>
        </w:rPr>
        <w:lastRenderedPageBreak/>
        <w:t>otro facilita los contactos anónimos en una sociedad compleja y, con ello, propicia una consideración aislada de la acción, a menos que ella en si misma contenga un injusto. En cualquier caso, la determinación de ese sentido conjunto de la acción d</w:t>
      </w:r>
      <w:r w:rsidRPr="00262FED">
        <w:rPr>
          <w:rFonts w:ascii="Myriad Pro" w:hAnsi="Myriad Pro"/>
          <w:bCs/>
          <w:sz w:val="24"/>
          <w:szCs w:val="24"/>
          <w:lang w:val="es-ES"/>
        </w:rPr>
        <w:t>e</w:t>
      </w:r>
      <w:r w:rsidRPr="00262FED">
        <w:rPr>
          <w:rFonts w:ascii="Myriad Pro" w:hAnsi="Myriad Pro"/>
          <w:bCs/>
          <w:sz w:val="24"/>
          <w:szCs w:val="24"/>
          <w:lang w:val="es-ES"/>
        </w:rPr>
        <w:t>be tener lugar tomando en consideración el contexto de la acción (Jakobs, 2014, p. 17). Dicha accesoriedad es independiente del dolo y la imprudencia, razón por la cual Jakobs rechaza una solución al nivel del tipo subjetivo. Consecuentemente con los fundamentos de su teoría, Jakobs (1996, p. 261) sostiene que una sociedad con div</w:t>
      </w:r>
      <w:r w:rsidRPr="00262FED">
        <w:rPr>
          <w:rFonts w:ascii="Myriad Pro" w:hAnsi="Myriad Pro"/>
          <w:bCs/>
          <w:sz w:val="24"/>
          <w:szCs w:val="24"/>
          <w:lang w:val="es-ES"/>
        </w:rPr>
        <w:t>i</w:t>
      </w:r>
      <w:r w:rsidRPr="00262FED">
        <w:rPr>
          <w:rFonts w:ascii="Myriad Pro" w:hAnsi="Myriad Pro"/>
          <w:bCs/>
          <w:sz w:val="24"/>
          <w:szCs w:val="24"/>
          <w:lang w:val="es-ES"/>
        </w:rPr>
        <w:t xml:space="preserve">sión del trabajo y con un intercambio altamente complejo de información, bienes y servicios, solo puede estar regida por el sentido objetivo de los contactos sociales, </w:t>
      </w:r>
      <w:r w:rsidRPr="00262FED">
        <w:rPr>
          <w:rFonts w:ascii="Myriad Pro" w:hAnsi="Myriad Pro"/>
          <w:sz w:val="24"/>
          <w:szCs w:val="24"/>
          <w:lang w:val="es-ES"/>
        </w:rPr>
        <w:t>con otras palabras, y siguiendo a Luhmann, Lesch (2014) sostiene: “</w:t>
      </w:r>
      <w:r w:rsidRPr="00262FED">
        <w:rPr>
          <w:rFonts w:ascii="Myriad Pro" w:hAnsi="Myriad Pro"/>
          <w:sz w:val="24"/>
          <w:szCs w:val="24"/>
        </w:rPr>
        <w:t>Selektive, Ko</w:t>
      </w:r>
      <w:r w:rsidRPr="00262FED">
        <w:rPr>
          <w:rFonts w:ascii="Myriad Pro" w:hAnsi="Myriad Pro"/>
          <w:sz w:val="24"/>
          <w:szCs w:val="24"/>
        </w:rPr>
        <w:t>m</w:t>
      </w:r>
      <w:r w:rsidRPr="00262FED">
        <w:rPr>
          <w:rFonts w:ascii="Myriad Pro" w:hAnsi="Myriad Pro"/>
          <w:sz w:val="24"/>
          <w:szCs w:val="24"/>
        </w:rPr>
        <w:t>plexität und Kontingenz abbauende Erwartungsstrukturen sind also eine L</w:t>
      </w:r>
      <w:r w:rsidRPr="00262FED">
        <w:rPr>
          <w:rFonts w:ascii="Myriad Pro" w:hAnsi="Myriad Pro"/>
          <w:sz w:val="24"/>
          <w:szCs w:val="24"/>
        </w:rPr>
        <w:t>e</w:t>
      </w:r>
      <w:r w:rsidRPr="00262FED">
        <w:rPr>
          <w:rFonts w:ascii="Myriad Pro" w:hAnsi="Myriad Pro"/>
          <w:sz w:val="24"/>
          <w:szCs w:val="24"/>
        </w:rPr>
        <w:t>bensnotwendigkeit</w:t>
      </w:r>
      <w:r w:rsidRPr="00262FED">
        <w:rPr>
          <w:rFonts w:ascii="Myriad Pro" w:hAnsi="Myriad Pro"/>
          <w:sz w:val="24"/>
          <w:szCs w:val="24"/>
          <w:lang w:val="es-ES"/>
        </w:rPr>
        <w:t xml:space="preserve">” (p. </w:t>
      </w:r>
      <w:r w:rsidRPr="00262FED">
        <w:rPr>
          <w:rFonts w:ascii="Myriad Pro" w:hAnsi="Myriad Pro"/>
          <w:sz w:val="24"/>
          <w:szCs w:val="24"/>
        </w:rPr>
        <w:t>466)</w:t>
      </w:r>
      <w:r w:rsidRPr="00262FED">
        <w:rPr>
          <w:rStyle w:val="Ancladenotaalpie"/>
          <w:rFonts w:ascii="Myriad Pro" w:hAnsi="Myriad Pro"/>
          <w:sz w:val="24"/>
          <w:szCs w:val="24"/>
        </w:rPr>
        <w:footnoteReference w:id="22"/>
      </w:r>
      <w:r w:rsidRPr="00262FED">
        <w:rPr>
          <w:rFonts w:ascii="Myriad Pro" w:hAnsi="Myriad Pro"/>
          <w:sz w:val="24"/>
          <w:szCs w:val="24"/>
        </w:rPr>
        <w:t>.</w:t>
      </w:r>
      <w:r w:rsidRPr="00262FED">
        <w:rPr>
          <w:rFonts w:ascii="Myriad Pro" w:hAnsi="Myriad Pro"/>
          <w:bCs/>
          <w:sz w:val="24"/>
          <w:szCs w:val="24"/>
          <w:lang w:val="es-ES"/>
        </w:rPr>
        <w:t xml:space="preserve"> Dicho sentido objetivo es limitado a través de la de</w:t>
      </w:r>
      <w:r w:rsidRPr="00262FED">
        <w:rPr>
          <w:rFonts w:ascii="Myriad Pro" w:hAnsi="Myriad Pro"/>
          <w:bCs/>
          <w:sz w:val="24"/>
          <w:szCs w:val="24"/>
          <w:lang w:val="es-ES"/>
        </w:rPr>
        <w:t>s</w:t>
      </w:r>
      <w:r w:rsidRPr="00262FED">
        <w:rPr>
          <w:rFonts w:ascii="Myriad Pro" w:hAnsi="Myriad Pro"/>
          <w:bCs/>
          <w:sz w:val="24"/>
          <w:szCs w:val="24"/>
          <w:lang w:val="es-ES"/>
        </w:rPr>
        <w:t>cripción de las expectativas sociales de los roles previamente constituidos. Es por ello precisamente que cualquiera que actúe dentro de su rol social, no podría realizar la descripción de una conducta típica. Para determinar la utilidad de su teoría, Jakobs propone criterios que permitan evaluar la posibilidad de disociar a la acción de co</w:t>
      </w:r>
      <w:r w:rsidRPr="00262FED">
        <w:rPr>
          <w:rFonts w:ascii="Myriad Pro" w:hAnsi="Myriad Pro"/>
          <w:bCs/>
          <w:sz w:val="24"/>
          <w:szCs w:val="24"/>
          <w:lang w:val="es-ES"/>
        </w:rPr>
        <w:t>m</w:t>
      </w:r>
      <w:r w:rsidRPr="00262FED">
        <w:rPr>
          <w:rFonts w:ascii="Myriad Pro" w:hAnsi="Myriad Pro"/>
          <w:bCs/>
          <w:sz w:val="24"/>
          <w:szCs w:val="24"/>
          <w:lang w:val="es-ES"/>
        </w:rPr>
        <w:t>plicidad del delito posterior. Sin embargo, de acuerdo con la última opinión de J</w:t>
      </w:r>
      <w:r w:rsidRPr="00262FED">
        <w:rPr>
          <w:rFonts w:ascii="Myriad Pro" w:hAnsi="Myriad Pro"/>
          <w:bCs/>
          <w:sz w:val="24"/>
          <w:szCs w:val="24"/>
          <w:lang w:val="es-ES"/>
        </w:rPr>
        <w:t>a</w:t>
      </w:r>
      <w:r w:rsidRPr="00262FED">
        <w:rPr>
          <w:rFonts w:ascii="Myriad Pro" w:hAnsi="Myriad Pro"/>
          <w:bCs/>
          <w:sz w:val="24"/>
          <w:szCs w:val="24"/>
          <w:lang w:val="es-ES"/>
        </w:rPr>
        <w:t>kobs (2014, p. 33 y ss.), el carácter delictivo de una prestación de ayuda puede ser imputado no solo a través del traspaso de los límites del rol social, sino que también a través del entorno en el cual la acción es ejecutada y cómo ella se ajusta al plan delictivo del autor. De acuerdo con esta formulación, el contexto de la acción es co</w:t>
      </w:r>
      <w:r w:rsidRPr="00262FED">
        <w:rPr>
          <w:rFonts w:ascii="Myriad Pro" w:hAnsi="Myriad Pro"/>
          <w:bCs/>
          <w:sz w:val="24"/>
          <w:szCs w:val="24"/>
          <w:lang w:val="es-ES"/>
        </w:rPr>
        <w:t>n</w:t>
      </w:r>
      <w:r w:rsidRPr="00262FED">
        <w:rPr>
          <w:rFonts w:ascii="Myriad Pro" w:hAnsi="Myriad Pro"/>
          <w:bCs/>
          <w:sz w:val="24"/>
          <w:szCs w:val="24"/>
          <w:lang w:val="es-ES"/>
        </w:rPr>
        <w:t>siderado crecientemente, dado que dicho contexto puede cambiar el significado de todo comportamiento. Es por ello que la prohibición de regreso rige especialmente en la etapa de los actos preparatorios, en donde la conexión de la acción colaborat</w:t>
      </w:r>
      <w:r w:rsidRPr="00262FED">
        <w:rPr>
          <w:rFonts w:ascii="Myriad Pro" w:hAnsi="Myriad Pro"/>
          <w:bCs/>
          <w:sz w:val="24"/>
          <w:szCs w:val="24"/>
          <w:lang w:val="es-ES"/>
        </w:rPr>
        <w:t>i</w:t>
      </w:r>
      <w:r w:rsidRPr="00262FED">
        <w:rPr>
          <w:rFonts w:ascii="Myriad Pro" w:hAnsi="Myriad Pro"/>
          <w:bCs/>
          <w:sz w:val="24"/>
          <w:szCs w:val="24"/>
          <w:lang w:val="es-ES"/>
        </w:rPr>
        <w:t xml:space="preserve">va con el hecho delictivo posterior es débil o menos evidente (Jakobs, 2012, p. 80 y ss.). </w:t>
      </w:r>
    </w:p>
    <w:p w14:paraId="57C659B3" w14:textId="77777777" w:rsidR="00262FED" w:rsidRPr="00262FED" w:rsidRDefault="00262FED" w:rsidP="00262FED">
      <w:pPr>
        <w:spacing w:before="200"/>
        <w:jc w:val="both"/>
        <w:rPr>
          <w:rFonts w:ascii="Myriad Pro" w:hAnsi="Myriad Pro"/>
          <w:sz w:val="24"/>
          <w:szCs w:val="24"/>
          <w:lang w:val="es-ES"/>
        </w:rPr>
      </w:pPr>
      <w:r w:rsidRPr="00262FED">
        <w:rPr>
          <w:rFonts w:ascii="Myriad Pro" w:hAnsi="Myriad Pro"/>
          <w:bCs/>
          <w:sz w:val="24"/>
          <w:szCs w:val="24"/>
          <w:lang w:val="es-ES"/>
        </w:rPr>
        <w:tab/>
        <w:t>Próximo a la postura teórica previa de Jakobs, Lesch (2014) representa en la actualidad dicho punto de vista sobre el problema de las acciones profesionales al afirmar que</w:t>
      </w:r>
      <w:r w:rsidRPr="00262FED">
        <w:rPr>
          <w:rFonts w:ascii="Myriad Pro" w:hAnsi="Myriad Pro"/>
          <w:sz w:val="24"/>
          <w:szCs w:val="24"/>
        </w:rPr>
        <w:t xml:space="preserve"> ““Berufstypisches bzw. </w:t>
      </w:r>
      <w:proofErr w:type="gramStart"/>
      <w:r w:rsidRPr="00262FED">
        <w:rPr>
          <w:rFonts w:ascii="Myriad Pro" w:hAnsi="Myriad Pro"/>
          <w:sz w:val="24"/>
          <w:szCs w:val="24"/>
        </w:rPr>
        <w:t>ganz</w:t>
      </w:r>
      <w:proofErr w:type="gramEnd"/>
      <w:r w:rsidRPr="00262FED">
        <w:rPr>
          <w:rFonts w:ascii="Myriad Pro" w:hAnsi="Myriad Pro"/>
          <w:sz w:val="24"/>
          <w:szCs w:val="24"/>
        </w:rPr>
        <w:t xml:space="preserve"> allgemein ‚rollenadäquates’ Verhalten ist also überhaupt keine Besonderheit und insbesondere kein eigenständiger Topos der objektiven Zurechnung” (p. 468)</w:t>
      </w:r>
      <w:r w:rsidRPr="00262FED">
        <w:rPr>
          <w:rStyle w:val="Ancladenotaalpie"/>
          <w:rFonts w:ascii="Myriad Pro" w:hAnsi="Myriad Pro"/>
          <w:sz w:val="24"/>
          <w:szCs w:val="24"/>
        </w:rPr>
        <w:footnoteReference w:id="23"/>
      </w:r>
      <w:r w:rsidRPr="00262FED">
        <w:rPr>
          <w:rFonts w:ascii="Myriad Pro" w:hAnsi="Myriad Pro"/>
          <w:sz w:val="24"/>
          <w:szCs w:val="24"/>
        </w:rPr>
        <w:t xml:space="preserve">. </w:t>
      </w:r>
      <w:r w:rsidRPr="00262FED">
        <w:rPr>
          <w:rFonts w:ascii="Myriad Pro" w:hAnsi="Myriad Pro"/>
          <w:sz w:val="24"/>
          <w:szCs w:val="24"/>
          <w:lang w:val="es-ES"/>
        </w:rPr>
        <w:t>Él identifica dos constelaciones de casos que d</w:t>
      </w:r>
      <w:r w:rsidRPr="00262FED">
        <w:rPr>
          <w:rFonts w:ascii="Myriad Pro" w:hAnsi="Myriad Pro"/>
          <w:sz w:val="24"/>
          <w:szCs w:val="24"/>
          <w:lang w:val="es-ES"/>
        </w:rPr>
        <w:t>e</w:t>
      </w:r>
      <w:r w:rsidRPr="00262FED">
        <w:rPr>
          <w:rFonts w:ascii="Myriad Pro" w:hAnsi="Myriad Pro"/>
          <w:sz w:val="24"/>
          <w:szCs w:val="24"/>
          <w:lang w:val="es-ES"/>
        </w:rPr>
        <w:t xml:space="preserve">ben ser distinguidos: unidad </w:t>
      </w:r>
      <w:r w:rsidRPr="00262FED">
        <w:rPr>
          <w:rFonts w:ascii="Myriad Pro" w:hAnsi="Myriad Pro"/>
          <w:i/>
          <w:sz w:val="24"/>
          <w:szCs w:val="24"/>
          <w:lang w:val="es-ES"/>
        </w:rPr>
        <w:t>normativa-organizativa</w:t>
      </w:r>
      <w:r w:rsidRPr="00262FED">
        <w:rPr>
          <w:rFonts w:ascii="Myriad Pro" w:hAnsi="Myriad Pro"/>
          <w:sz w:val="24"/>
          <w:szCs w:val="24"/>
          <w:lang w:val="es-ES"/>
        </w:rPr>
        <w:t xml:space="preserve"> y unidad </w:t>
      </w:r>
      <w:r w:rsidRPr="00262FED">
        <w:rPr>
          <w:rFonts w:ascii="Myriad Pro" w:hAnsi="Myriad Pro"/>
          <w:i/>
          <w:sz w:val="24"/>
          <w:szCs w:val="24"/>
          <w:lang w:val="es-ES"/>
        </w:rPr>
        <w:t>únicamente normativa</w:t>
      </w:r>
      <w:r w:rsidRPr="00262FED">
        <w:rPr>
          <w:rFonts w:ascii="Myriad Pro" w:hAnsi="Myriad Pro"/>
          <w:sz w:val="24"/>
          <w:szCs w:val="24"/>
          <w:lang w:val="es-ES"/>
        </w:rPr>
        <w:t>. La primera posibilidad, requiere que quien colabora con el hecho ajuste su compo</w:t>
      </w:r>
      <w:r w:rsidRPr="00262FED">
        <w:rPr>
          <w:rFonts w:ascii="Myriad Pro" w:hAnsi="Myriad Pro"/>
          <w:sz w:val="24"/>
          <w:szCs w:val="24"/>
          <w:lang w:val="es-ES"/>
        </w:rPr>
        <w:t>r</w:t>
      </w:r>
      <w:r w:rsidRPr="00262FED">
        <w:rPr>
          <w:rFonts w:ascii="Myriad Pro" w:hAnsi="Myriad Pro"/>
          <w:sz w:val="24"/>
          <w:szCs w:val="24"/>
          <w:lang w:val="es-ES"/>
        </w:rPr>
        <w:t>tamiento a una organización delictiva ajena. La segunda alternativa, por su parte, se verifica cuando quien colabora lesiona deberes de seguridad especialmente previ</w:t>
      </w:r>
      <w:r w:rsidRPr="00262FED">
        <w:rPr>
          <w:rFonts w:ascii="Myriad Pro" w:hAnsi="Myriad Pro"/>
          <w:sz w:val="24"/>
          <w:szCs w:val="24"/>
          <w:lang w:val="es-ES"/>
        </w:rPr>
        <w:t>s</w:t>
      </w:r>
      <w:r w:rsidRPr="00262FED">
        <w:rPr>
          <w:rFonts w:ascii="Myriad Pro" w:hAnsi="Myriad Pro"/>
          <w:sz w:val="24"/>
          <w:szCs w:val="24"/>
          <w:lang w:val="es-ES"/>
        </w:rPr>
        <w:t>tos. Solo en ese caso puede ser ignorada una –generalmente válida– prohibición de regreso, y fundarse así la punibilidad de la conducta (Lesch, 2014, p. 469).</w:t>
      </w:r>
    </w:p>
    <w:p w14:paraId="6F6C0130" w14:textId="77777777" w:rsidR="00262FED" w:rsidRPr="00262FED" w:rsidRDefault="00262FED" w:rsidP="00262FED">
      <w:pPr>
        <w:spacing w:before="200"/>
        <w:jc w:val="both"/>
        <w:rPr>
          <w:rFonts w:ascii="Myriad Pro" w:hAnsi="Myriad Pro"/>
          <w:sz w:val="24"/>
          <w:szCs w:val="24"/>
        </w:rPr>
      </w:pPr>
      <w:r w:rsidRPr="00262FED">
        <w:rPr>
          <w:rFonts w:ascii="Garamond" w:hAnsi="Garamond"/>
          <w:sz w:val="24"/>
          <w:szCs w:val="24"/>
          <w:lang w:val="es-ES"/>
        </w:rPr>
        <w:lastRenderedPageBreak/>
        <w:tab/>
      </w:r>
      <w:r w:rsidRPr="00262FED">
        <w:rPr>
          <w:rFonts w:ascii="Myriad Pro" w:hAnsi="Myriad Pro"/>
          <w:sz w:val="24"/>
          <w:szCs w:val="24"/>
          <w:lang w:val="es-ES"/>
        </w:rPr>
        <w:t>La mayoría de las críticas se dirigen en contra de los resultados de la teoría de la prohibición de regreso, en los términos sostenidos por una postura previa de J</w:t>
      </w:r>
      <w:r w:rsidRPr="00262FED">
        <w:rPr>
          <w:rFonts w:ascii="Myriad Pro" w:hAnsi="Myriad Pro"/>
          <w:sz w:val="24"/>
          <w:szCs w:val="24"/>
          <w:lang w:val="es-ES"/>
        </w:rPr>
        <w:t>a</w:t>
      </w:r>
      <w:r w:rsidRPr="00262FED">
        <w:rPr>
          <w:rFonts w:ascii="Myriad Pro" w:hAnsi="Myriad Pro"/>
          <w:sz w:val="24"/>
          <w:szCs w:val="24"/>
          <w:lang w:val="es-ES"/>
        </w:rPr>
        <w:t>kobs. Dicha teoría, pretende sostener una fuerte barrera objetiva de la punibilidad de las acciones previas a la principal, donde la conformidad con el rol de una acción e</w:t>
      </w:r>
      <w:r w:rsidRPr="00262FED">
        <w:rPr>
          <w:rFonts w:ascii="Myriad Pro" w:hAnsi="Myriad Pro"/>
          <w:sz w:val="24"/>
          <w:szCs w:val="24"/>
          <w:lang w:val="es-ES"/>
        </w:rPr>
        <w:t>n</w:t>
      </w:r>
      <w:r w:rsidRPr="00262FED">
        <w:rPr>
          <w:rFonts w:ascii="Myriad Pro" w:hAnsi="Myriad Pro"/>
          <w:sz w:val="24"/>
          <w:szCs w:val="24"/>
          <w:lang w:val="es-ES"/>
        </w:rPr>
        <w:t>trega una razón para la atipicidad de la conducta. El problema fundamental de esta postura, es que pretende la aplicación de principios generales sin atender al carácter accesorio de la complicidad (Kudlich, 2004, p. 92), lo que la lleva necesariamente a una solución insatisfactoria del problema, especialmente cuando un contexto deli</w:t>
      </w:r>
      <w:r w:rsidRPr="00262FED">
        <w:rPr>
          <w:rFonts w:ascii="Myriad Pro" w:hAnsi="Myriad Pro"/>
          <w:sz w:val="24"/>
          <w:szCs w:val="24"/>
          <w:lang w:val="es-ES"/>
        </w:rPr>
        <w:t>c</w:t>
      </w:r>
      <w:r w:rsidRPr="00262FED">
        <w:rPr>
          <w:rFonts w:ascii="Myriad Pro" w:hAnsi="Myriad Pro"/>
          <w:sz w:val="24"/>
          <w:szCs w:val="24"/>
          <w:lang w:val="es-ES"/>
        </w:rPr>
        <w:t>tivo es relativamente claro. Pese a que la postura actual de Lesch (2014) todavía m</w:t>
      </w:r>
      <w:r w:rsidRPr="00262FED">
        <w:rPr>
          <w:rFonts w:ascii="Myriad Pro" w:hAnsi="Myriad Pro"/>
          <w:sz w:val="24"/>
          <w:szCs w:val="24"/>
          <w:lang w:val="es-ES"/>
        </w:rPr>
        <w:t>e</w:t>
      </w:r>
      <w:r w:rsidRPr="00262FED">
        <w:rPr>
          <w:rFonts w:ascii="Myriad Pro" w:hAnsi="Myriad Pro"/>
          <w:sz w:val="24"/>
          <w:szCs w:val="24"/>
          <w:lang w:val="es-ES"/>
        </w:rPr>
        <w:t xml:space="preserve">rece esa crítica, ello no aplica para la nueva postura de Jakobs en la materia, quien a través de la postulación de un criterio “dependiente del contexto” y la consideración del entorno </w:t>
      </w:r>
      <w:r w:rsidRPr="00262FED">
        <w:rPr>
          <w:rFonts w:ascii="Myriad Pro" w:hAnsi="Myriad Pro"/>
          <w:i/>
          <w:iCs/>
          <w:sz w:val="24"/>
          <w:szCs w:val="24"/>
          <w:lang w:val="es-ES"/>
        </w:rPr>
        <w:t>apreciablemente</w:t>
      </w:r>
      <w:r w:rsidRPr="00262FED">
        <w:rPr>
          <w:rFonts w:ascii="Myriad Pro" w:hAnsi="Myriad Pro"/>
          <w:sz w:val="24"/>
          <w:szCs w:val="24"/>
          <w:lang w:val="es-ES"/>
        </w:rPr>
        <w:t xml:space="preserve"> delictivo, puede superar dichas críticas. Un buen eje</w:t>
      </w:r>
      <w:r w:rsidRPr="00262FED">
        <w:rPr>
          <w:rFonts w:ascii="Myriad Pro" w:hAnsi="Myriad Pro"/>
          <w:sz w:val="24"/>
          <w:szCs w:val="24"/>
          <w:lang w:val="es-ES"/>
        </w:rPr>
        <w:t>m</w:t>
      </w:r>
      <w:r w:rsidRPr="00262FED">
        <w:rPr>
          <w:rFonts w:ascii="Myriad Pro" w:hAnsi="Myriad Pro"/>
          <w:sz w:val="24"/>
          <w:szCs w:val="24"/>
          <w:lang w:val="es-ES"/>
        </w:rPr>
        <w:t>plo de este desarrollo, se encuentra en la descripción de la compra de un cuchillo de mesa bajo distintas circunstancias. Eso puede ser visto como una compra normal o como una colaboración en un homicidio cuando el receptor no juega solo el rol de receptor de cuchillos, sino que también uno de asesino (Jakobs, 2003, p. 566). Sin embargo, persiste el principal problema de la teoría: la consideración de un punto de vista irrelevante para la imputación penal como punto de partida del análisis. ¿Por qué podrían tener mayor relevancia las expectativas relativas a la concreta profesión del autor que las propias de un ciudadano fiel al Derecho</w:t>
      </w:r>
      <w:proofErr w:type="gramStart"/>
      <w:r w:rsidRPr="00262FED">
        <w:rPr>
          <w:rFonts w:ascii="Myriad Pro" w:hAnsi="Myriad Pro"/>
          <w:sz w:val="24"/>
          <w:szCs w:val="24"/>
          <w:lang w:val="es-ES"/>
        </w:rPr>
        <w:t>?.</w:t>
      </w:r>
      <w:proofErr w:type="gramEnd"/>
      <w:r w:rsidRPr="00262FED">
        <w:rPr>
          <w:rFonts w:ascii="Myriad Pro" w:hAnsi="Myriad Pro"/>
          <w:sz w:val="24"/>
          <w:szCs w:val="24"/>
          <w:lang w:val="es-ES"/>
        </w:rPr>
        <w:t xml:space="preserve"> </w:t>
      </w:r>
      <w:r w:rsidRPr="00262FED">
        <w:rPr>
          <w:rFonts w:ascii="Myriad Pro" w:hAnsi="Myriad Pro"/>
          <w:sz w:val="24"/>
          <w:szCs w:val="24"/>
        </w:rPr>
        <w:t xml:space="preserve">Nuevamente, se muestra que el problema radica en la errónea determinación del objeto de la imputación y, con ello, de la descripción de la acción (Kindhäuser, 2010, p. 411; Schurmann Opazo, 2020, p. 270 y ss.). </w:t>
      </w:r>
    </w:p>
    <w:p w14:paraId="1D76947D" w14:textId="77777777" w:rsidR="00262FED" w:rsidRDefault="00262FED" w:rsidP="00262FED">
      <w:pPr>
        <w:spacing w:before="200"/>
        <w:jc w:val="both"/>
        <w:rPr>
          <w:rFonts w:ascii="Myriad Pro" w:hAnsi="Myriad Pro"/>
          <w:sz w:val="24"/>
          <w:szCs w:val="24"/>
        </w:rPr>
      </w:pPr>
      <w:r w:rsidRPr="00262FED">
        <w:rPr>
          <w:rFonts w:ascii="Garamond" w:hAnsi="Garamond"/>
          <w:sz w:val="24"/>
          <w:szCs w:val="24"/>
        </w:rPr>
        <w:tab/>
      </w:r>
      <w:r w:rsidRPr="00262FED">
        <w:rPr>
          <w:rFonts w:ascii="Myriad Pro" w:hAnsi="Myriad Pro"/>
          <w:sz w:val="24"/>
          <w:szCs w:val="24"/>
        </w:rPr>
        <w:t>Sin perjuicio de que este no es el lugar para exponer las críticas que genera</w:t>
      </w:r>
      <w:r w:rsidRPr="00262FED">
        <w:rPr>
          <w:rFonts w:ascii="Myriad Pro" w:hAnsi="Myriad Pro"/>
          <w:sz w:val="24"/>
          <w:szCs w:val="24"/>
        </w:rPr>
        <w:t>l</w:t>
      </w:r>
      <w:r w:rsidRPr="00262FED">
        <w:rPr>
          <w:rFonts w:ascii="Myriad Pro" w:hAnsi="Myriad Pro"/>
          <w:sz w:val="24"/>
          <w:szCs w:val="24"/>
        </w:rPr>
        <w:t>mente se le formulan a la construcción general de Jakobs (Kudlich</w:t>
      </w:r>
      <w:r w:rsidRPr="00262FED">
        <w:rPr>
          <w:rFonts w:ascii="Myriad Pro" w:hAnsi="Myriad Pro" w:cs="Calibri (Cuerpo en alfabeto com"/>
          <w:smallCaps/>
          <w:sz w:val="24"/>
          <w:szCs w:val="24"/>
        </w:rPr>
        <w:t xml:space="preserve">, 2004, </w:t>
      </w:r>
      <w:r w:rsidRPr="00262FED">
        <w:rPr>
          <w:rFonts w:ascii="Myriad Pro" w:hAnsi="Myriad Pro"/>
          <w:sz w:val="24"/>
          <w:szCs w:val="24"/>
        </w:rPr>
        <w:t>p.</w:t>
      </w:r>
      <w:r w:rsidRPr="00262FED">
        <w:rPr>
          <w:rFonts w:ascii="Myriad Pro" w:hAnsi="Myriad Pro" w:cs="Calibri (Cuerpo en alfabeto com"/>
          <w:smallCaps/>
          <w:sz w:val="24"/>
          <w:szCs w:val="24"/>
        </w:rPr>
        <w:t xml:space="preserve"> </w:t>
      </w:r>
      <w:r w:rsidRPr="00262FED">
        <w:rPr>
          <w:rFonts w:ascii="Myriad Pro" w:hAnsi="Myriad Pro"/>
          <w:sz w:val="24"/>
          <w:szCs w:val="24"/>
        </w:rPr>
        <w:t xml:space="preserve">90 y ss.; </w:t>
      </w:r>
      <w:r w:rsidRPr="00262FED">
        <w:rPr>
          <w:rFonts w:ascii="Myriad Pro" w:hAnsi="Myriad Pro"/>
          <w:sz w:val="24"/>
          <w:szCs w:val="24"/>
          <w:lang w:val="es-ES"/>
        </w:rPr>
        <w:t xml:space="preserve">de especial relevancia resulta también revisar </w:t>
      </w:r>
      <w:r w:rsidRPr="00262FED">
        <w:rPr>
          <w:rFonts w:ascii="Myriad Pro" w:hAnsi="Myriad Pro"/>
          <w:sz w:val="24"/>
          <w:szCs w:val="24"/>
        </w:rPr>
        <w:t>Wohlleben; 1996, p. 90), es importante notar que la apelación a la prohibición de regreso como fundamento de la impun</w:t>
      </w:r>
      <w:r w:rsidRPr="00262FED">
        <w:rPr>
          <w:rFonts w:ascii="Myriad Pro" w:hAnsi="Myriad Pro"/>
          <w:sz w:val="24"/>
          <w:szCs w:val="24"/>
        </w:rPr>
        <w:t>i</w:t>
      </w:r>
      <w:r w:rsidRPr="00262FED">
        <w:rPr>
          <w:rFonts w:ascii="Myriad Pro" w:hAnsi="Myriad Pro"/>
          <w:sz w:val="24"/>
          <w:szCs w:val="24"/>
        </w:rPr>
        <w:t>dad, debido a la incompetencia por el comportamiento de otro, constituye un crit</w:t>
      </w:r>
      <w:r w:rsidRPr="00262FED">
        <w:rPr>
          <w:rFonts w:ascii="Myriad Pro" w:hAnsi="Myriad Pro"/>
          <w:sz w:val="24"/>
          <w:szCs w:val="24"/>
        </w:rPr>
        <w:t>e</w:t>
      </w:r>
      <w:r w:rsidRPr="00262FED">
        <w:rPr>
          <w:rFonts w:ascii="Myriad Pro" w:hAnsi="Myriad Pro"/>
          <w:sz w:val="24"/>
          <w:szCs w:val="24"/>
        </w:rPr>
        <w:t>rio discutido. El contenido y función de esa nueva forma de concebir la prohibición de regreso no es del todo claro y, por ello, cae dentro de la crítica que previamente se ha formulado en contra de la postulación de criterios jurídicos difusos como herr</w:t>
      </w:r>
      <w:r w:rsidRPr="00262FED">
        <w:rPr>
          <w:rFonts w:ascii="Myriad Pro" w:hAnsi="Myriad Pro"/>
          <w:sz w:val="24"/>
          <w:szCs w:val="24"/>
        </w:rPr>
        <w:t>a</w:t>
      </w:r>
      <w:r w:rsidRPr="00262FED">
        <w:rPr>
          <w:rFonts w:ascii="Myriad Pro" w:hAnsi="Myriad Pro"/>
          <w:sz w:val="24"/>
          <w:szCs w:val="24"/>
        </w:rPr>
        <w:t>mienta teórica de  delimitación de la punibilidad de una conducta</w:t>
      </w:r>
      <w:r w:rsidRPr="00262FED">
        <w:rPr>
          <w:rStyle w:val="Ancladenotaalpie"/>
          <w:rFonts w:ascii="Myriad Pro" w:hAnsi="Myriad Pro"/>
          <w:sz w:val="24"/>
          <w:szCs w:val="24"/>
        </w:rPr>
        <w:footnoteReference w:id="24"/>
      </w:r>
      <w:r w:rsidRPr="00262FED">
        <w:rPr>
          <w:rFonts w:ascii="Myriad Pro" w:hAnsi="Myriad Pro"/>
          <w:sz w:val="24"/>
          <w:szCs w:val="24"/>
        </w:rPr>
        <w:t>. En los términos de Jakobs, la prohibición de regreso constituye la exclusión de las condiciones pr</w:t>
      </w:r>
      <w:r w:rsidRPr="00262FED">
        <w:rPr>
          <w:rFonts w:ascii="Myriad Pro" w:hAnsi="Myriad Pro"/>
          <w:sz w:val="24"/>
          <w:szCs w:val="24"/>
        </w:rPr>
        <w:t>e</w:t>
      </w:r>
      <w:r w:rsidRPr="00262FED">
        <w:rPr>
          <w:rFonts w:ascii="Myriad Pro" w:hAnsi="Myriad Pro"/>
          <w:sz w:val="24"/>
          <w:szCs w:val="24"/>
        </w:rPr>
        <w:t xml:space="preserve">vias de un suceso del ámbito de responsabilidad penal potencial (Kindhäuser, 2015a, p. 129). Si bien dicha responsabilidad es afirmada </w:t>
      </w:r>
      <w:r w:rsidRPr="00262FED">
        <w:rPr>
          <w:rFonts w:ascii="Myriad Pro" w:hAnsi="Myriad Pro"/>
          <w:i/>
          <w:sz w:val="24"/>
          <w:szCs w:val="24"/>
        </w:rPr>
        <w:t>prima facie</w:t>
      </w:r>
      <w:r w:rsidRPr="00262FED">
        <w:rPr>
          <w:rFonts w:ascii="Myriad Pro" w:hAnsi="Myriad Pro"/>
          <w:sz w:val="24"/>
          <w:szCs w:val="24"/>
        </w:rPr>
        <w:t xml:space="preserve"> por la concurrencia de una relación causal, ella puede ser posteriormente descartada en base a criterios normativos. Pese a que la teoría de la prohibición de regreso –bajo la construcción de Jakobs– constituye un criterio de la imputación objetiva dentro del ámbito de la pa</w:t>
      </w:r>
      <w:r w:rsidRPr="00262FED">
        <w:rPr>
          <w:rFonts w:ascii="Myriad Pro" w:hAnsi="Myriad Pro"/>
          <w:sz w:val="24"/>
          <w:szCs w:val="24"/>
        </w:rPr>
        <w:t>r</w:t>
      </w:r>
      <w:r w:rsidRPr="00262FED">
        <w:rPr>
          <w:rFonts w:ascii="Myriad Pro" w:hAnsi="Myriad Pro"/>
          <w:sz w:val="24"/>
          <w:szCs w:val="24"/>
        </w:rPr>
        <w:t xml:space="preserve">ticipación punible, ella aparenta fundar más bien la imposibilidad de participar en un </w:t>
      </w:r>
      <w:r w:rsidRPr="00262FED">
        <w:rPr>
          <w:rFonts w:ascii="Myriad Pro" w:hAnsi="Myriad Pro"/>
          <w:sz w:val="24"/>
          <w:szCs w:val="24"/>
        </w:rPr>
        <w:lastRenderedPageBreak/>
        <w:t>delito, dado que la creación de un riesgo no permitido requiere la ausencia de una prohibición de regreso. Especialmente claro en este sentido es Jakobs (2012, pp. 80 y 81). Roxin (1989)</w:t>
      </w:r>
      <w:r w:rsidRPr="00262FED">
        <w:rPr>
          <w:rFonts w:ascii="Myriad Pro" w:hAnsi="Myriad Pro"/>
          <w:sz w:val="24"/>
          <w:szCs w:val="24"/>
          <w:lang w:val="es-ES"/>
        </w:rPr>
        <w:t>, concuerda con él, cuando afirma que la mayoría de los casos de prohibición de regreso pueden ser excluidos según los principios generales de la teoría de la imputación y bajo el punto de vista del riesgo permitido</w:t>
      </w:r>
      <w:r w:rsidRPr="00262FED">
        <w:rPr>
          <w:rFonts w:ascii="Myriad Pro" w:hAnsi="Myriad Pro"/>
          <w:sz w:val="24"/>
          <w:szCs w:val="24"/>
        </w:rPr>
        <w:t>. Con otras palabras, solo se puede apelar a una prohibición de regreso cuando el comportamiento carece de relevancia delictiva (Jakobs, 2014, p. 29 y ss.), de modo que la prohibición de regreso no sería más que el reverso de la responsabilidad penal para un tercero, debido a la ausencia de imputación objetiva de la acción delictiva a su respecto. Es por ello que se debe concordar con Kudlich (2004, p. 374 y ss.) cuando afirma que la prohibición de regreso no sería un instrumento de imputación, sino que el resultado de un proceso de imputación, de modo que el concepto de prohibición de regreso no puede entregar algo más que una etiqueta carente de contenido autónomo.</w:t>
      </w:r>
    </w:p>
    <w:p w14:paraId="5C199C1F" w14:textId="77777777" w:rsidR="008B1EED" w:rsidRPr="008B1EED" w:rsidRDefault="008B1EED" w:rsidP="008B1EED">
      <w:pPr>
        <w:spacing w:after="0" w:line="240" w:lineRule="auto"/>
        <w:jc w:val="center"/>
        <w:rPr>
          <w:b/>
          <w:sz w:val="24"/>
          <w:szCs w:val="24"/>
        </w:rPr>
      </w:pPr>
    </w:p>
    <w:p w14:paraId="5266000F" w14:textId="655EB9A6" w:rsidR="00F34FA3" w:rsidRPr="008B1EED" w:rsidRDefault="00F34FA3" w:rsidP="008B1EED">
      <w:pPr>
        <w:spacing w:after="0" w:line="240" w:lineRule="auto"/>
        <w:jc w:val="center"/>
        <w:rPr>
          <w:rFonts w:ascii="Myriad Pro" w:hAnsi="Myriad Pro"/>
          <w:b/>
          <w:sz w:val="28"/>
          <w:szCs w:val="28"/>
        </w:rPr>
      </w:pPr>
      <w:bookmarkStart w:id="1" w:name="_1.2._Delimitación_de"/>
      <w:bookmarkEnd w:id="1"/>
      <w:r w:rsidRPr="008B1EED">
        <w:rPr>
          <w:rFonts w:ascii="Myriad Pro" w:hAnsi="Myriad Pro"/>
          <w:b/>
          <w:sz w:val="28"/>
          <w:szCs w:val="28"/>
        </w:rPr>
        <w:t xml:space="preserve">1.2. </w:t>
      </w:r>
      <w:r w:rsidR="00262FED" w:rsidRPr="008B1EED">
        <w:rPr>
          <w:rFonts w:ascii="Myriad Pro" w:hAnsi="Myriad Pro"/>
          <w:b/>
          <w:sz w:val="28"/>
          <w:szCs w:val="28"/>
        </w:rPr>
        <w:t>Propuestas de interpretación restrictiva de la regla que extiende la responsabil</w:t>
      </w:r>
      <w:r w:rsidR="00262FED" w:rsidRPr="008B1EED">
        <w:rPr>
          <w:rFonts w:ascii="Myriad Pro" w:hAnsi="Myriad Pro"/>
          <w:b/>
          <w:sz w:val="28"/>
          <w:szCs w:val="28"/>
        </w:rPr>
        <w:t>i</w:t>
      </w:r>
      <w:r w:rsidR="00262FED" w:rsidRPr="008B1EED">
        <w:rPr>
          <w:rFonts w:ascii="Myriad Pro" w:hAnsi="Myriad Pro"/>
          <w:b/>
          <w:sz w:val="28"/>
          <w:szCs w:val="28"/>
        </w:rPr>
        <w:t>dad penal al cómplice</w:t>
      </w:r>
    </w:p>
    <w:p w14:paraId="5D873810" w14:textId="77777777" w:rsidR="008B1EED" w:rsidRPr="008B1EED" w:rsidRDefault="008B1EED" w:rsidP="008B1EED">
      <w:pPr>
        <w:spacing w:after="0" w:line="240" w:lineRule="auto"/>
        <w:jc w:val="center"/>
        <w:rPr>
          <w:b/>
          <w:sz w:val="24"/>
          <w:szCs w:val="24"/>
        </w:rPr>
      </w:pPr>
    </w:p>
    <w:p w14:paraId="7302B18A" w14:textId="67A5D22E" w:rsidR="00262FED" w:rsidRDefault="00262FED" w:rsidP="00262FED">
      <w:pPr>
        <w:jc w:val="both"/>
        <w:rPr>
          <w:rFonts w:ascii="Myriad Pro" w:hAnsi="Myriad Pro"/>
          <w:sz w:val="24"/>
          <w:szCs w:val="24"/>
          <w:lang w:val="es-ES"/>
        </w:rPr>
      </w:pPr>
      <w:r>
        <w:rPr>
          <w:rFonts w:ascii="Myriad Pro" w:hAnsi="Myriad Pro"/>
          <w:sz w:val="24"/>
          <w:szCs w:val="24"/>
          <w:lang w:val="es-ES"/>
        </w:rPr>
        <w:tab/>
      </w:r>
      <w:r w:rsidRPr="00262FED">
        <w:rPr>
          <w:rFonts w:ascii="Myriad Pro" w:hAnsi="Myriad Pro"/>
          <w:sz w:val="24"/>
          <w:szCs w:val="24"/>
          <w:lang w:val="es-ES"/>
        </w:rPr>
        <w:t>Pese a que las opiniones aquí expuestas tienen en común con las precedentes la convicción de que la solución del problema debe ser alcanzada fundamentalmente en un nivel objetivo, la diferencia radica en los puntos de partida de sus acerc</w:t>
      </w:r>
      <w:r w:rsidRPr="00262FED">
        <w:rPr>
          <w:rFonts w:ascii="Myriad Pro" w:hAnsi="Myriad Pro"/>
          <w:sz w:val="24"/>
          <w:szCs w:val="24"/>
          <w:lang w:val="es-ES"/>
        </w:rPr>
        <w:t>a</w:t>
      </w:r>
      <w:r w:rsidRPr="00262FED">
        <w:rPr>
          <w:rFonts w:ascii="Myriad Pro" w:hAnsi="Myriad Pro"/>
          <w:sz w:val="24"/>
          <w:szCs w:val="24"/>
          <w:lang w:val="es-ES"/>
        </w:rPr>
        <w:t>mientos al problema. Mientras las posturas precedentes apoyan una solución dentro de la categoría de la imputación objetiva, las teorías que se exponen en este apart</w:t>
      </w:r>
      <w:r w:rsidRPr="00262FED">
        <w:rPr>
          <w:rFonts w:ascii="Myriad Pro" w:hAnsi="Myriad Pro"/>
          <w:sz w:val="24"/>
          <w:szCs w:val="24"/>
          <w:lang w:val="es-ES"/>
        </w:rPr>
        <w:t>a</w:t>
      </w:r>
      <w:r w:rsidRPr="00262FED">
        <w:rPr>
          <w:rFonts w:ascii="Myriad Pro" w:hAnsi="Myriad Pro"/>
          <w:sz w:val="24"/>
          <w:szCs w:val="24"/>
          <w:lang w:val="es-ES"/>
        </w:rPr>
        <w:t>do sostienen que la solución al problema de las denominadas acciones “neutrales” debe ser encontrada en la teoría de la participación y en las normas legales que reg</w:t>
      </w:r>
      <w:r w:rsidRPr="00262FED">
        <w:rPr>
          <w:rFonts w:ascii="Myriad Pro" w:hAnsi="Myriad Pro"/>
          <w:sz w:val="24"/>
          <w:szCs w:val="24"/>
          <w:lang w:val="es-ES"/>
        </w:rPr>
        <w:t>u</w:t>
      </w:r>
      <w:r w:rsidRPr="00262FED">
        <w:rPr>
          <w:rFonts w:ascii="Myriad Pro" w:hAnsi="Myriad Pro"/>
          <w:sz w:val="24"/>
          <w:szCs w:val="24"/>
          <w:lang w:val="es-ES"/>
        </w:rPr>
        <w:t>lan la punibilidad de la complicidad.</w:t>
      </w:r>
    </w:p>
    <w:p w14:paraId="4D506852" w14:textId="77777777" w:rsidR="008B1EED" w:rsidRPr="008B1EED" w:rsidRDefault="008B1EED" w:rsidP="008B1EED">
      <w:pPr>
        <w:spacing w:after="0" w:line="240" w:lineRule="auto"/>
        <w:jc w:val="center"/>
        <w:rPr>
          <w:rFonts w:ascii="Myriad Pro" w:hAnsi="Myriad Pro"/>
          <w:b/>
          <w:sz w:val="24"/>
          <w:szCs w:val="24"/>
          <w:lang w:val="es-ES"/>
        </w:rPr>
      </w:pPr>
    </w:p>
    <w:p w14:paraId="5F7D2120" w14:textId="764024D9" w:rsidR="00262FED" w:rsidRPr="008B1EED" w:rsidRDefault="00262FED" w:rsidP="008B1EED">
      <w:pPr>
        <w:spacing w:after="0" w:line="240" w:lineRule="auto"/>
        <w:jc w:val="center"/>
        <w:rPr>
          <w:rFonts w:ascii="Myriad Pro" w:hAnsi="Myriad Pro"/>
          <w:b/>
          <w:color w:val="175D71"/>
          <w:sz w:val="24"/>
          <w:szCs w:val="24"/>
        </w:rPr>
      </w:pPr>
      <w:r w:rsidRPr="008B1EED">
        <w:rPr>
          <w:rFonts w:ascii="Myriad Pro" w:hAnsi="Myriad Pro"/>
          <w:b/>
          <w:color w:val="175D71"/>
          <w:sz w:val="24"/>
          <w:szCs w:val="24"/>
          <w:lang w:val="es-ES"/>
        </w:rPr>
        <w:t xml:space="preserve">1.2.1. </w:t>
      </w:r>
      <w:r w:rsidRPr="008B1EED">
        <w:rPr>
          <w:rFonts w:ascii="Myriad Pro" w:hAnsi="Myriad Pro"/>
          <w:b/>
          <w:color w:val="175D71"/>
          <w:sz w:val="24"/>
          <w:szCs w:val="24"/>
        </w:rPr>
        <w:t>La interpretación restrictiva de la regla de comportamiento del cómplice por medio del criterio cuantitativo relativo al carácter esencial de la prestación</w:t>
      </w:r>
    </w:p>
    <w:p w14:paraId="20BEE1D1" w14:textId="77777777" w:rsidR="008B1EED" w:rsidRPr="008B1EED" w:rsidRDefault="008B1EED" w:rsidP="008B1EED">
      <w:pPr>
        <w:spacing w:after="0" w:line="240" w:lineRule="auto"/>
        <w:jc w:val="center"/>
        <w:rPr>
          <w:rFonts w:ascii="Myriad Pro" w:hAnsi="Myriad Pro"/>
          <w:b/>
          <w:sz w:val="24"/>
          <w:szCs w:val="24"/>
          <w:lang w:val="es-ES"/>
        </w:rPr>
      </w:pPr>
    </w:p>
    <w:p w14:paraId="071455EE" w14:textId="526206C7" w:rsidR="00262FED" w:rsidRPr="00262FED" w:rsidRDefault="00262FED" w:rsidP="00262FED">
      <w:pPr>
        <w:spacing w:before="200"/>
        <w:jc w:val="both"/>
        <w:rPr>
          <w:rFonts w:ascii="Myriad Pro" w:hAnsi="Myriad Pro"/>
          <w:sz w:val="24"/>
          <w:szCs w:val="24"/>
          <w:lang w:val="es-ES"/>
        </w:rPr>
      </w:pPr>
      <w:r>
        <w:rPr>
          <w:rFonts w:ascii="Myriad Pro" w:hAnsi="Myriad Pro"/>
          <w:sz w:val="24"/>
          <w:szCs w:val="24"/>
          <w:lang w:val="es-ES"/>
        </w:rPr>
        <w:tab/>
      </w:r>
      <w:r w:rsidRPr="00262FED">
        <w:rPr>
          <w:rFonts w:ascii="Myriad Pro" w:hAnsi="Myriad Pro"/>
          <w:sz w:val="24"/>
          <w:szCs w:val="24"/>
          <w:lang w:val="es-ES"/>
        </w:rPr>
        <w:t xml:space="preserve">Wiegand (1998), opina que el estado de la discusión es insatisfactorio debido a la falta de consideración de los fundamentos estructurales de la punibilidad del partícipe en la formulación de los criterios. Con un acento en el carácter accesorio de la complicidad, destaca Wiegand (1998) su merecimiento de pena afirmando que </w:t>
      </w:r>
      <w:r w:rsidRPr="00262FED">
        <w:rPr>
          <w:rFonts w:ascii="Myriad Pro" w:hAnsi="Myriad Pro"/>
          <w:sz w:val="24"/>
          <w:szCs w:val="24"/>
        </w:rPr>
        <w:t>“Als Gehilfe ist strafbar, wer vorsätzlich eine Handlung zur Unterstützung der rechtswidrigen Tat eines anderen vornimmt, sofern sich seine Handlung tatsächlich fö</w:t>
      </w:r>
      <w:r w:rsidRPr="00262FED">
        <w:rPr>
          <w:rFonts w:ascii="Myriad Pro" w:hAnsi="Myriad Pro"/>
          <w:sz w:val="24"/>
          <w:szCs w:val="24"/>
        </w:rPr>
        <w:t>r</w:t>
      </w:r>
      <w:r w:rsidRPr="00262FED">
        <w:rPr>
          <w:rFonts w:ascii="Myriad Pro" w:hAnsi="Myriad Pro"/>
          <w:sz w:val="24"/>
          <w:szCs w:val="24"/>
        </w:rPr>
        <w:t xml:space="preserve">dernd auf die aufgeführte oder zumindest versuchte Haupttat auswirkt” (p. 207 y </w:t>
      </w:r>
      <w:r w:rsidRPr="00262FED">
        <w:rPr>
          <w:rFonts w:ascii="Myriad Pro" w:hAnsi="Myriad Pro"/>
          <w:sz w:val="24"/>
          <w:szCs w:val="24"/>
        </w:rPr>
        <w:lastRenderedPageBreak/>
        <w:t>208)</w:t>
      </w:r>
      <w:r w:rsidRPr="00262FED">
        <w:rPr>
          <w:rStyle w:val="Ancladenotaalpie"/>
          <w:rFonts w:ascii="Myriad Pro" w:hAnsi="Myriad Pro"/>
          <w:sz w:val="24"/>
          <w:szCs w:val="24"/>
          <w:lang w:val="es-ES"/>
        </w:rPr>
        <w:footnoteReference w:id="25"/>
      </w:r>
      <w:r w:rsidRPr="00262FED">
        <w:rPr>
          <w:rFonts w:ascii="Myriad Pro" w:hAnsi="Myriad Pro"/>
          <w:sz w:val="24"/>
          <w:szCs w:val="24"/>
          <w:lang w:val="es-ES"/>
        </w:rPr>
        <w:t>. Dado que no ha sido encontrado un criterio cualitativo más idóneo, se plantea al carácter “esencial” –s</w:t>
      </w:r>
      <w:r w:rsidRPr="00262FED">
        <w:rPr>
          <w:rFonts w:ascii="Myriad Pro" w:hAnsi="Myriad Pro"/>
          <w:sz w:val="24"/>
          <w:szCs w:val="24"/>
          <w:lang w:val="de-DE"/>
        </w:rPr>
        <w:t xml:space="preserve">imilar, importante o esencial; </w:t>
      </w:r>
      <w:r w:rsidRPr="00262FED">
        <w:rPr>
          <w:rFonts w:ascii="Myriad Pro" w:hAnsi="Myriad Pro"/>
          <w:sz w:val="24"/>
          <w:szCs w:val="24"/>
        </w:rPr>
        <w:t>Schild</w:t>
      </w:r>
      <w:r w:rsidRPr="00262FED">
        <w:rPr>
          <w:rFonts w:ascii="Myriad Pro" w:hAnsi="Myriad Pro"/>
          <w:sz w:val="24"/>
          <w:szCs w:val="24"/>
          <w:lang w:val="de-DE"/>
        </w:rPr>
        <w:t xml:space="preserve"> (2017, Nm. 3</w:t>
      </w:r>
      <w:proofErr w:type="gramStart"/>
      <w:r w:rsidRPr="00262FED">
        <w:rPr>
          <w:rFonts w:ascii="Myriad Pro" w:hAnsi="Myriad Pro"/>
          <w:sz w:val="24"/>
          <w:szCs w:val="24"/>
          <w:lang w:val="de-DE"/>
        </w:rPr>
        <w:t>)–</w:t>
      </w:r>
      <w:proofErr w:type="gramEnd"/>
      <w:r w:rsidRPr="00262FED">
        <w:rPr>
          <w:rFonts w:ascii="Myriad Pro" w:hAnsi="Myriad Pro"/>
          <w:sz w:val="24"/>
          <w:szCs w:val="24"/>
          <w:lang w:val="es-ES"/>
        </w:rPr>
        <w:t xml:space="preserve"> de la acción de colaboración como un criterio cuantitativo derivado de la estructura de la complicidad, de modo que, a partir de dicho criterio, podrían ser excluidos del ámbito de lo punible aportes mínimos y fungibles y, con ello, ver satisfecha la necesidad político-criminal de descriminalizar aportes “inofensivos” al hecho punible. En este ámbito, se encuentran las prestaciones generalmente disponibles</w:t>
      </w:r>
      <w:r w:rsidR="00F4317A">
        <w:rPr>
          <w:rStyle w:val="Refdenotaalpie"/>
          <w:rFonts w:ascii="Myriad Pro" w:hAnsi="Myriad Pro"/>
          <w:sz w:val="24"/>
          <w:szCs w:val="24"/>
          <w:lang w:val="es-ES"/>
        </w:rPr>
        <w:footnoteReference w:id="26"/>
      </w:r>
      <w:r w:rsidRPr="00262FED">
        <w:rPr>
          <w:rFonts w:ascii="Myriad Pro" w:hAnsi="Myriad Pro"/>
          <w:sz w:val="24"/>
          <w:szCs w:val="24"/>
          <w:lang w:val="es-ES"/>
        </w:rPr>
        <w:t xml:space="preserve"> y los casos de desconexión entre el aporte y la decisión delictiva posterior del autor (Wiegand. 1998, pp. 210 y 211).</w:t>
      </w:r>
    </w:p>
    <w:p w14:paraId="32314768" w14:textId="77777777" w:rsidR="00262FED" w:rsidRPr="008B1EED" w:rsidRDefault="00262FED" w:rsidP="008B1EED">
      <w:pPr>
        <w:spacing w:after="0" w:line="240" w:lineRule="auto"/>
        <w:jc w:val="both"/>
        <w:rPr>
          <w:rFonts w:ascii="Myriad Pro" w:hAnsi="Myriad Pro"/>
          <w:sz w:val="24"/>
          <w:szCs w:val="24"/>
          <w:lang w:val="es-ES"/>
        </w:rPr>
      </w:pPr>
      <w:r w:rsidRPr="00262FED">
        <w:rPr>
          <w:rFonts w:ascii="Myriad Pro" w:hAnsi="Myriad Pro"/>
          <w:sz w:val="24"/>
          <w:szCs w:val="24"/>
          <w:lang w:val="es-ES"/>
        </w:rPr>
        <w:tab/>
        <w:t xml:space="preserve">La objeción que fácilmente puede ser levantada en contra de esta postura, es apreciada por el propio Wiegand (1998, p. 218). Los criterios cuantitativos tienen en general la ventaja de la elasticidad, pero </w:t>
      </w:r>
      <w:r w:rsidRPr="00262FED">
        <w:rPr>
          <w:rFonts w:ascii="Myriad Pro" w:hAnsi="Myriad Pro"/>
          <w:sz w:val="24"/>
          <w:szCs w:val="24"/>
          <w:lang w:val="es-ES_tradnl"/>
        </w:rPr>
        <w:t>—</w:t>
      </w:r>
      <w:r w:rsidRPr="00262FED">
        <w:rPr>
          <w:rFonts w:ascii="Myriad Pro" w:hAnsi="Myriad Pro"/>
          <w:sz w:val="24"/>
          <w:szCs w:val="24"/>
          <w:lang w:val="es-ES"/>
        </w:rPr>
        <w:t>al mismo tiempo</w:t>
      </w:r>
      <w:r w:rsidRPr="00262FED">
        <w:rPr>
          <w:rFonts w:ascii="Myriad Pro" w:hAnsi="Myriad Pro"/>
          <w:sz w:val="24"/>
          <w:szCs w:val="24"/>
          <w:lang w:val="es-ES_tradnl"/>
        </w:rPr>
        <w:t>—</w:t>
      </w:r>
      <w:r w:rsidRPr="00262FED">
        <w:rPr>
          <w:rFonts w:ascii="Myriad Pro" w:hAnsi="Myriad Pro"/>
          <w:sz w:val="24"/>
          <w:szCs w:val="24"/>
          <w:lang w:val="es-ES"/>
        </w:rPr>
        <w:t xml:space="preserve"> tienen la desventaja de una escasa previsibilidad en sus resultados. Es por ello que son siempre prefer</w:t>
      </w:r>
      <w:r w:rsidRPr="00262FED">
        <w:rPr>
          <w:rFonts w:ascii="Myriad Pro" w:hAnsi="Myriad Pro"/>
          <w:sz w:val="24"/>
          <w:szCs w:val="24"/>
          <w:lang w:val="es-ES"/>
        </w:rPr>
        <w:t>i</w:t>
      </w:r>
      <w:r w:rsidRPr="00262FED">
        <w:rPr>
          <w:rFonts w:ascii="Myriad Pro" w:hAnsi="Myriad Pro"/>
          <w:sz w:val="24"/>
          <w:szCs w:val="24"/>
          <w:lang w:val="es-ES"/>
        </w:rPr>
        <w:t xml:space="preserve">bles los criterios cualitativos. La principal virtud de la propuesta teórica de Wiegand (1998) consiste en la correcta localización de la problemática en el ámbito dogmático de la complicidad, y mediante el examen del tenor literal de la regulación legal.  </w:t>
      </w:r>
    </w:p>
    <w:p w14:paraId="0C5C35BB" w14:textId="77777777" w:rsidR="008B1EED" w:rsidRPr="008B1EED" w:rsidRDefault="008B1EED" w:rsidP="008B1EED">
      <w:pPr>
        <w:spacing w:after="0" w:line="240" w:lineRule="auto"/>
        <w:jc w:val="both"/>
        <w:rPr>
          <w:rFonts w:ascii="Myriad Pro" w:hAnsi="Myriad Pro"/>
          <w:sz w:val="24"/>
          <w:szCs w:val="24"/>
          <w:lang w:val="es-ES"/>
        </w:rPr>
      </w:pPr>
    </w:p>
    <w:p w14:paraId="712918FE" w14:textId="280F9B69" w:rsidR="00262FED" w:rsidRPr="008B1EED" w:rsidRDefault="00F4317A" w:rsidP="008B1EED">
      <w:pPr>
        <w:spacing w:after="0" w:line="240" w:lineRule="auto"/>
        <w:jc w:val="center"/>
        <w:rPr>
          <w:rFonts w:ascii="Myriad Pro" w:hAnsi="Myriad Pro"/>
          <w:b/>
          <w:sz w:val="24"/>
          <w:szCs w:val="24"/>
        </w:rPr>
      </w:pPr>
      <w:r w:rsidRPr="008B1EED">
        <w:rPr>
          <w:rFonts w:ascii="Myriad Pro" w:hAnsi="Myriad Pro"/>
          <w:b/>
          <w:sz w:val="24"/>
          <w:szCs w:val="24"/>
          <w:lang w:val="es-ES"/>
        </w:rPr>
        <w:t xml:space="preserve">1.2.2. </w:t>
      </w:r>
      <w:r w:rsidRPr="008B1EED">
        <w:rPr>
          <w:rFonts w:ascii="Myriad Pro" w:hAnsi="Myriad Pro"/>
          <w:b/>
          <w:sz w:val="24"/>
          <w:szCs w:val="24"/>
        </w:rPr>
        <w:t xml:space="preserve">La propuesta interpretativa del elemento típico </w:t>
      </w:r>
      <w:r w:rsidRPr="008B1EED">
        <w:rPr>
          <w:rFonts w:ascii="Myriad Pro" w:hAnsi="Myriad Pro"/>
          <w:b/>
          <w:iCs/>
          <w:sz w:val="24"/>
          <w:szCs w:val="24"/>
        </w:rPr>
        <w:t>colaboración</w:t>
      </w:r>
      <w:r w:rsidRPr="008B1EED">
        <w:rPr>
          <w:rFonts w:ascii="Myriad Pro" w:hAnsi="Myriad Pro"/>
          <w:b/>
          <w:sz w:val="24"/>
          <w:szCs w:val="24"/>
        </w:rPr>
        <w:t xml:space="preserve"> como medio decisivo para delimitar la subsunción de conductas punibles a título de compl</w:t>
      </w:r>
      <w:r w:rsidRPr="008B1EED">
        <w:rPr>
          <w:rFonts w:ascii="Myriad Pro" w:hAnsi="Myriad Pro"/>
          <w:b/>
          <w:sz w:val="24"/>
          <w:szCs w:val="24"/>
        </w:rPr>
        <w:t>i</w:t>
      </w:r>
      <w:r w:rsidRPr="008B1EED">
        <w:rPr>
          <w:rFonts w:ascii="Myriad Pro" w:hAnsi="Myriad Pro"/>
          <w:b/>
          <w:sz w:val="24"/>
          <w:szCs w:val="24"/>
        </w:rPr>
        <w:t>cidad</w:t>
      </w:r>
    </w:p>
    <w:p w14:paraId="4885FC82" w14:textId="77777777" w:rsidR="008B1EED" w:rsidRPr="008B1EED" w:rsidRDefault="008B1EED" w:rsidP="008B1EED">
      <w:pPr>
        <w:spacing w:after="0" w:line="240" w:lineRule="auto"/>
        <w:jc w:val="both"/>
        <w:rPr>
          <w:rFonts w:ascii="Myriad Pro" w:hAnsi="Myriad Pro"/>
          <w:sz w:val="24"/>
          <w:szCs w:val="24"/>
          <w:lang w:val="es-ES"/>
        </w:rPr>
      </w:pPr>
    </w:p>
    <w:p w14:paraId="680AF36D" w14:textId="7D0CD84C" w:rsidR="00F4317A" w:rsidRPr="00F4317A" w:rsidRDefault="00F4317A" w:rsidP="00F4317A">
      <w:pPr>
        <w:spacing w:before="200"/>
        <w:jc w:val="both"/>
        <w:rPr>
          <w:rFonts w:ascii="Myriad Pro" w:hAnsi="Myriad Pro"/>
          <w:sz w:val="24"/>
          <w:szCs w:val="24"/>
          <w:lang w:val="es-ES"/>
        </w:rPr>
      </w:pPr>
      <w:r>
        <w:rPr>
          <w:rFonts w:ascii="Myriad Pro" w:hAnsi="Myriad Pro"/>
          <w:sz w:val="24"/>
          <w:szCs w:val="24"/>
          <w:lang w:val="es-ES"/>
        </w:rPr>
        <w:tab/>
      </w:r>
      <w:r w:rsidRPr="00F4317A">
        <w:rPr>
          <w:rFonts w:ascii="Myriad Pro" w:hAnsi="Myriad Pro"/>
          <w:sz w:val="24"/>
          <w:szCs w:val="24"/>
          <w:lang w:val="es-ES"/>
        </w:rPr>
        <w:t xml:space="preserve">Kindhäuser (2007a, p. 357) propone también una investigación dentro de los límites internos de la punibilidad del cómplice, afirmando como criterio general que la prestación de ayuda debe ser en alguna forma </w:t>
      </w:r>
      <w:r w:rsidRPr="00F4317A">
        <w:rPr>
          <w:rFonts w:ascii="Myriad Pro" w:hAnsi="Myriad Pro"/>
          <w:i/>
          <w:sz w:val="24"/>
          <w:szCs w:val="24"/>
          <w:lang w:val="es-ES"/>
        </w:rPr>
        <w:t>útil</w:t>
      </w:r>
      <w:r w:rsidRPr="00F4317A">
        <w:rPr>
          <w:rFonts w:ascii="Myriad Pro" w:hAnsi="Myriad Pro"/>
          <w:sz w:val="24"/>
          <w:szCs w:val="24"/>
          <w:lang w:val="es-ES"/>
        </w:rPr>
        <w:t xml:space="preserve"> a la acción principal para determinar –de una forma objetiva– el comportamiento prohibido a título de complic</w:t>
      </w:r>
      <w:r w:rsidRPr="00F4317A">
        <w:rPr>
          <w:rFonts w:ascii="Myriad Pro" w:hAnsi="Myriad Pro"/>
          <w:sz w:val="24"/>
          <w:szCs w:val="24"/>
          <w:lang w:val="es-ES"/>
        </w:rPr>
        <w:t>i</w:t>
      </w:r>
      <w:r w:rsidRPr="00F4317A">
        <w:rPr>
          <w:rFonts w:ascii="Myriad Pro" w:hAnsi="Myriad Pro"/>
          <w:sz w:val="24"/>
          <w:szCs w:val="24"/>
          <w:lang w:val="es-ES"/>
        </w:rPr>
        <w:t xml:space="preserve">dad. El primer paso del programa de investigación, requiere reconocer que </w:t>
      </w:r>
      <w:r w:rsidRPr="00F4317A">
        <w:rPr>
          <w:rFonts w:ascii="Myriad Pro" w:hAnsi="Myriad Pro"/>
          <w:i/>
          <w:sz w:val="24"/>
          <w:szCs w:val="24"/>
          <w:lang w:val="es-ES"/>
        </w:rPr>
        <w:t xml:space="preserve">ayuda </w:t>
      </w:r>
      <w:r w:rsidRPr="00F4317A">
        <w:rPr>
          <w:rFonts w:ascii="Myriad Pro" w:hAnsi="Myriad Pro"/>
          <w:sz w:val="24"/>
          <w:szCs w:val="24"/>
          <w:lang w:val="es-ES"/>
        </w:rPr>
        <w:t>es un concepto cuyo significado se encuentra anclado a una relación intencional m</w:t>
      </w:r>
      <w:r w:rsidRPr="00F4317A">
        <w:rPr>
          <w:rFonts w:ascii="Myriad Pro" w:hAnsi="Myriad Pro"/>
          <w:sz w:val="24"/>
          <w:szCs w:val="24"/>
          <w:lang w:val="es-ES"/>
        </w:rPr>
        <w:t>e</w:t>
      </w:r>
      <w:r w:rsidRPr="00F4317A">
        <w:rPr>
          <w:rFonts w:ascii="Myriad Pro" w:hAnsi="Myriad Pro"/>
          <w:sz w:val="24"/>
          <w:szCs w:val="24"/>
          <w:lang w:val="es-ES"/>
        </w:rPr>
        <w:t>dio-fin (</w:t>
      </w:r>
      <w:r w:rsidRPr="00F4317A">
        <w:rPr>
          <w:rFonts w:ascii="Myriad Pro" w:hAnsi="Myriad Pro"/>
          <w:sz w:val="24"/>
          <w:szCs w:val="24"/>
        </w:rPr>
        <w:t xml:space="preserve">Kindhäuser, 2007a, p. 360). </w:t>
      </w:r>
      <w:r w:rsidRPr="00F4317A">
        <w:rPr>
          <w:rFonts w:ascii="Myriad Pro" w:hAnsi="Myriad Pro"/>
          <w:sz w:val="24"/>
          <w:szCs w:val="24"/>
          <w:lang w:val="es-ES"/>
        </w:rPr>
        <w:t>Con otras palabras: colaboración debe ser ente</w:t>
      </w:r>
      <w:r w:rsidRPr="00F4317A">
        <w:rPr>
          <w:rFonts w:ascii="Myriad Pro" w:hAnsi="Myriad Pro"/>
          <w:sz w:val="24"/>
          <w:szCs w:val="24"/>
          <w:lang w:val="es-ES"/>
        </w:rPr>
        <w:t>n</w:t>
      </w:r>
      <w:r w:rsidRPr="00F4317A">
        <w:rPr>
          <w:rFonts w:ascii="Myriad Pro" w:hAnsi="Myriad Pro"/>
          <w:sz w:val="24"/>
          <w:szCs w:val="24"/>
          <w:lang w:val="es-ES"/>
        </w:rPr>
        <w:t>dida como un medio necesario para alcanzar el fin delictivo del autor</w:t>
      </w:r>
      <w:r w:rsidRPr="00F4317A">
        <w:rPr>
          <w:rFonts w:ascii="Myriad Pro" w:hAnsi="Myriad Pro"/>
          <w:sz w:val="24"/>
          <w:szCs w:val="24"/>
        </w:rPr>
        <w:t xml:space="preserve"> </w:t>
      </w:r>
      <w:r w:rsidRPr="00F4317A">
        <w:rPr>
          <w:rFonts w:ascii="Myriad Pro" w:hAnsi="Myriad Pro"/>
          <w:sz w:val="24"/>
          <w:szCs w:val="24"/>
          <w:lang w:val="es-ES"/>
        </w:rPr>
        <w:t>(</w:t>
      </w:r>
      <w:r w:rsidRPr="00F4317A">
        <w:rPr>
          <w:rFonts w:ascii="Myriad Pro" w:hAnsi="Myriad Pro"/>
          <w:sz w:val="24"/>
          <w:szCs w:val="24"/>
        </w:rPr>
        <w:t>Kindhäuser, 2015b, p. 384)</w:t>
      </w:r>
      <w:r w:rsidRPr="00F4317A">
        <w:rPr>
          <w:rFonts w:ascii="Myriad Pro" w:hAnsi="Myriad Pro"/>
          <w:sz w:val="24"/>
          <w:szCs w:val="24"/>
          <w:lang w:val="es-ES"/>
        </w:rPr>
        <w:t>. El concepto de colaboración requiere alcanzar un determinado fin y, con ello, su calificación presenta una naturaleza hipotética. Se trata de una acción que garantiza, prepara o procura mantener la capacidad para ejecutar la acción pri</w:t>
      </w:r>
      <w:r w:rsidRPr="00F4317A">
        <w:rPr>
          <w:rFonts w:ascii="Myriad Pro" w:hAnsi="Myriad Pro"/>
          <w:sz w:val="24"/>
          <w:szCs w:val="24"/>
          <w:lang w:val="es-ES"/>
        </w:rPr>
        <w:t>n</w:t>
      </w:r>
      <w:r w:rsidRPr="00F4317A">
        <w:rPr>
          <w:rFonts w:ascii="Myriad Pro" w:hAnsi="Myriad Pro"/>
          <w:sz w:val="24"/>
          <w:szCs w:val="24"/>
          <w:lang w:val="es-ES"/>
        </w:rPr>
        <w:t xml:space="preserve">cipal y, de esa forma, que ella no fracase. </w:t>
      </w:r>
      <w:r w:rsidRPr="00F4317A">
        <w:rPr>
          <w:rFonts w:ascii="Myriad Pro" w:hAnsi="Myriad Pro"/>
          <w:sz w:val="24"/>
          <w:szCs w:val="24"/>
        </w:rPr>
        <w:t>Kindhäuser (2007a),</w:t>
      </w:r>
      <w:r w:rsidRPr="00F4317A">
        <w:rPr>
          <w:rFonts w:ascii="Myriad Pro" w:hAnsi="Myriad Pro"/>
          <w:sz w:val="24"/>
          <w:szCs w:val="24"/>
          <w:lang w:val="es-ES"/>
        </w:rPr>
        <w:t xml:space="preserve"> utiliza aquí la termin</w:t>
      </w:r>
      <w:r w:rsidRPr="00F4317A">
        <w:rPr>
          <w:rFonts w:ascii="Myriad Pro" w:hAnsi="Myriad Pro"/>
          <w:sz w:val="24"/>
          <w:szCs w:val="24"/>
          <w:lang w:val="es-ES"/>
        </w:rPr>
        <w:t>o</w:t>
      </w:r>
      <w:r w:rsidRPr="00F4317A">
        <w:rPr>
          <w:rFonts w:ascii="Myriad Pro" w:hAnsi="Myriad Pro"/>
          <w:sz w:val="24"/>
          <w:szCs w:val="24"/>
          <w:lang w:val="es-ES"/>
        </w:rPr>
        <w:t>logía habitual de la teoría de la autoría y participación</w:t>
      </w:r>
      <w:proofErr w:type="gramStart"/>
      <w:r w:rsidRPr="00F4317A">
        <w:rPr>
          <w:rFonts w:ascii="Myriad Pro" w:hAnsi="Myriad Pro"/>
          <w:sz w:val="24"/>
          <w:szCs w:val="24"/>
          <w:lang w:val="es-ES"/>
        </w:rPr>
        <w:t xml:space="preserve">: </w:t>
      </w:r>
      <w:r w:rsidRPr="00F4317A">
        <w:rPr>
          <w:rFonts w:ascii="Myriad Pro" w:hAnsi="Myriad Pro"/>
          <w:sz w:val="24"/>
          <w:szCs w:val="24"/>
        </w:rPr>
        <w:t xml:space="preserve"> “</w:t>
      </w:r>
      <w:proofErr w:type="gramEnd"/>
      <w:r w:rsidRPr="00F4317A">
        <w:rPr>
          <w:rFonts w:ascii="Myriad Pro" w:hAnsi="Myriad Pro"/>
          <w:sz w:val="24"/>
          <w:szCs w:val="24"/>
        </w:rPr>
        <w:t>Ist die Haupttat des Täters durch die Beherrschbarkeit ihres Verlaufs hinsichtlich Gestaltung und Entscheidung geprägt, so wird durch eine wirksame Beihilfe die Intensität der Tatherrschaft gesteigert und damit das Risiko, dass die Tat im Sinne des Täters g</w:t>
      </w:r>
      <w:r w:rsidRPr="00F4317A">
        <w:rPr>
          <w:rFonts w:ascii="Myriad Pro" w:hAnsi="Myriad Pro"/>
          <w:sz w:val="24"/>
          <w:szCs w:val="24"/>
        </w:rPr>
        <w:t>e</w:t>
      </w:r>
      <w:r w:rsidRPr="00F4317A">
        <w:rPr>
          <w:rFonts w:ascii="Myriad Pro" w:hAnsi="Myriad Pro"/>
          <w:sz w:val="24"/>
          <w:szCs w:val="24"/>
        </w:rPr>
        <w:lastRenderedPageBreak/>
        <w:t>lingt, erhöht” (p. 361)</w:t>
      </w:r>
      <w:r w:rsidRPr="00F4317A">
        <w:rPr>
          <w:rStyle w:val="Ancladenotaalpie"/>
          <w:rFonts w:ascii="Myriad Pro" w:hAnsi="Myriad Pro"/>
          <w:sz w:val="24"/>
          <w:szCs w:val="24"/>
        </w:rPr>
        <w:footnoteReference w:id="27"/>
      </w:r>
      <w:r w:rsidRPr="00F4317A">
        <w:rPr>
          <w:rFonts w:ascii="Myriad Pro" w:hAnsi="Myriad Pro"/>
          <w:sz w:val="24"/>
          <w:szCs w:val="24"/>
        </w:rPr>
        <w:t>.</w:t>
      </w:r>
      <w:r w:rsidRPr="00F4317A">
        <w:rPr>
          <w:rFonts w:ascii="Myriad Pro" w:hAnsi="Myriad Pro"/>
          <w:sz w:val="24"/>
          <w:szCs w:val="24"/>
          <w:lang w:val="es-ES"/>
        </w:rPr>
        <w:t xml:space="preserve"> El carácter útil o colaborador de la acción, debe estar prese</w:t>
      </w:r>
      <w:r w:rsidRPr="00F4317A">
        <w:rPr>
          <w:rFonts w:ascii="Myriad Pro" w:hAnsi="Myriad Pro"/>
          <w:sz w:val="24"/>
          <w:szCs w:val="24"/>
          <w:lang w:val="es-ES"/>
        </w:rPr>
        <w:t>n</w:t>
      </w:r>
      <w:r w:rsidRPr="00F4317A">
        <w:rPr>
          <w:rFonts w:ascii="Myriad Pro" w:hAnsi="Myriad Pro"/>
          <w:sz w:val="24"/>
          <w:szCs w:val="24"/>
          <w:lang w:val="es-ES"/>
        </w:rPr>
        <w:t>te de forma objetiva ya desde el momento de su aporte para la ejecución de una o más hechos determin</w:t>
      </w:r>
      <w:r w:rsidRPr="00F4317A">
        <w:rPr>
          <w:rFonts w:ascii="Myriad Pro" w:hAnsi="Myriad Pro"/>
          <w:sz w:val="24"/>
          <w:szCs w:val="24"/>
          <w:lang w:val="es-ES"/>
        </w:rPr>
        <w:t>a</w:t>
      </w:r>
      <w:r w:rsidRPr="00F4317A">
        <w:rPr>
          <w:rFonts w:ascii="Myriad Pro" w:hAnsi="Myriad Pro"/>
          <w:sz w:val="24"/>
          <w:szCs w:val="24"/>
          <w:lang w:val="es-ES"/>
        </w:rPr>
        <w:t>dos –si las acciones son externamente neutrales o no, no tiene relevancia alguna</w:t>
      </w:r>
      <w:r w:rsidRPr="00F4317A">
        <w:rPr>
          <w:rFonts w:ascii="Myriad Pro" w:hAnsi="Myriad Pro"/>
          <w:sz w:val="24"/>
          <w:szCs w:val="24"/>
        </w:rPr>
        <w:t>. Kindhäuser</w:t>
      </w:r>
      <w:r w:rsidRPr="00F4317A">
        <w:rPr>
          <w:rFonts w:ascii="Myriad Pro" w:hAnsi="Myriad Pro"/>
          <w:smallCaps/>
          <w:sz w:val="24"/>
          <w:szCs w:val="24"/>
        </w:rPr>
        <w:t xml:space="preserve"> (</w:t>
      </w:r>
      <w:r w:rsidRPr="00F4317A">
        <w:rPr>
          <w:rFonts w:ascii="Myriad Pro" w:hAnsi="Myriad Pro"/>
          <w:sz w:val="24"/>
          <w:szCs w:val="24"/>
        </w:rPr>
        <w:t>2015b, p.</w:t>
      </w:r>
      <w:r w:rsidRPr="00F4317A">
        <w:rPr>
          <w:rFonts w:ascii="Myriad Pro" w:hAnsi="Myriad Pro"/>
          <w:bCs/>
          <w:sz w:val="24"/>
          <w:szCs w:val="24"/>
        </w:rPr>
        <w:t xml:space="preserve"> 384</w:t>
      </w:r>
      <w:proofErr w:type="gramStart"/>
      <w:r w:rsidRPr="00F4317A">
        <w:rPr>
          <w:rFonts w:ascii="Myriad Pro" w:hAnsi="Myriad Pro"/>
          <w:bCs/>
          <w:sz w:val="24"/>
          <w:szCs w:val="24"/>
        </w:rPr>
        <w:t>)</w:t>
      </w:r>
      <w:r w:rsidRPr="00F4317A">
        <w:rPr>
          <w:rFonts w:ascii="Myriad Pro" w:hAnsi="Myriad Pro"/>
          <w:sz w:val="24"/>
          <w:szCs w:val="24"/>
        </w:rPr>
        <w:t>–</w:t>
      </w:r>
      <w:proofErr w:type="gramEnd"/>
      <w:r w:rsidRPr="00F4317A">
        <w:rPr>
          <w:rFonts w:ascii="Myriad Pro" w:hAnsi="Myriad Pro"/>
          <w:sz w:val="24"/>
          <w:szCs w:val="24"/>
        </w:rPr>
        <w:t xml:space="preserve"> </w:t>
      </w:r>
      <w:r w:rsidRPr="00F4317A">
        <w:rPr>
          <w:rFonts w:ascii="Myriad Pro" w:hAnsi="Myriad Pro"/>
          <w:sz w:val="24"/>
          <w:szCs w:val="24"/>
          <w:lang w:val="es-ES"/>
        </w:rPr>
        <w:t>.Por medio de dicho requisito, pueden ser excluidas del concepto de colaboración diversas contribuciones previas. Allí do</w:t>
      </w:r>
      <w:r w:rsidRPr="00F4317A">
        <w:rPr>
          <w:rFonts w:ascii="Myriad Pro" w:hAnsi="Myriad Pro"/>
          <w:sz w:val="24"/>
          <w:szCs w:val="24"/>
          <w:lang w:val="es-ES"/>
        </w:rPr>
        <w:t>n</w:t>
      </w:r>
      <w:r w:rsidRPr="00F4317A">
        <w:rPr>
          <w:rFonts w:ascii="Myriad Pro" w:hAnsi="Myriad Pro"/>
          <w:sz w:val="24"/>
          <w:szCs w:val="24"/>
          <w:lang w:val="es-ES"/>
        </w:rPr>
        <w:t>de no existe finalidad, no es posible que exista colaboración. Al mismo tiempo, cua</w:t>
      </w:r>
      <w:r w:rsidRPr="00F4317A">
        <w:rPr>
          <w:rFonts w:ascii="Myriad Pro" w:hAnsi="Myriad Pro"/>
          <w:sz w:val="24"/>
          <w:szCs w:val="24"/>
          <w:lang w:val="es-ES"/>
        </w:rPr>
        <w:t>n</w:t>
      </w:r>
      <w:r w:rsidRPr="00F4317A">
        <w:rPr>
          <w:rFonts w:ascii="Myriad Pro" w:hAnsi="Myriad Pro"/>
          <w:sz w:val="24"/>
          <w:szCs w:val="24"/>
          <w:lang w:val="es-ES"/>
        </w:rPr>
        <w:t>do es posible apreciar una cisura entre la recepción de aportes con fines legales y la decisión post</w:t>
      </w:r>
      <w:r w:rsidRPr="00F4317A">
        <w:rPr>
          <w:rFonts w:ascii="Myriad Pro" w:hAnsi="Myriad Pro"/>
          <w:sz w:val="24"/>
          <w:szCs w:val="24"/>
          <w:lang w:val="es-ES"/>
        </w:rPr>
        <w:t>e</w:t>
      </w:r>
      <w:r w:rsidRPr="00F4317A">
        <w:rPr>
          <w:rFonts w:ascii="Myriad Pro" w:hAnsi="Myriad Pro"/>
          <w:sz w:val="24"/>
          <w:szCs w:val="24"/>
          <w:lang w:val="es-ES"/>
        </w:rPr>
        <w:t>rior autónoma del autor, entonces ese aporte no puede ser visto como complicidad debido a la ausencia de conexión en una relación delictiva de medio a fin entre dicho aporte y el hecho posterior (</w:t>
      </w:r>
      <w:r w:rsidRPr="00F4317A">
        <w:rPr>
          <w:rFonts w:ascii="Myriad Pro" w:hAnsi="Myriad Pro"/>
          <w:sz w:val="24"/>
          <w:szCs w:val="24"/>
        </w:rPr>
        <w:t xml:space="preserve">Kindhäuser, </w:t>
      </w:r>
      <w:r w:rsidRPr="00F4317A">
        <w:rPr>
          <w:rFonts w:ascii="Myriad Pro" w:hAnsi="Myriad Pro"/>
          <w:sz w:val="24"/>
          <w:szCs w:val="24"/>
          <w:lang w:val="de-DE"/>
        </w:rPr>
        <w:t>2007, p. 363)</w:t>
      </w:r>
      <w:r w:rsidRPr="00F4317A">
        <w:rPr>
          <w:rFonts w:ascii="Myriad Pro" w:hAnsi="Myriad Pro"/>
          <w:sz w:val="24"/>
          <w:szCs w:val="24"/>
          <w:lang w:val="es-ES"/>
        </w:rPr>
        <w:t xml:space="preserve">.  </w:t>
      </w:r>
    </w:p>
    <w:p w14:paraId="072991DD" w14:textId="32E84350" w:rsidR="00F4317A" w:rsidRPr="00F4317A" w:rsidRDefault="00F4317A" w:rsidP="00F4317A">
      <w:pPr>
        <w:spacing w:before="200"/>
        <w:jc w:val="both"/>
        <w:rPr>
          <w:rFonts w:ascii="Myriad Pro" w:hAnsi="Myriad Pro"/>
          <w:sz w:val="24"/>
          <w:szCs w:val="24"/>
        </w:rPr>
      </w:pPr>
      <w:r w:rsidRPr="00F4317A">
        <w:rPr>
          <w:rFonts w:ascii="Myriad Pro" w:hAnsi="Myriad Pro"/>
          <w:sz w:val="24"/>
          <w:szCs w:val="24"/>
          <w:lang w:val="es-ES"/>
        </w:rPr>
        <w:tab/>
        <w:t>Es precisamente por dicha razón que Kindhäuser (</w:t>
      </w:r>
      <w:r w:rsidRPr="00F4317A">
        <w:rPr>
          <w:rFonts w:ascii="Myriad Pro" w:hAnsi="Myriad Pro"/>
          <w:sz w:val="24"/>
          <w:szCs w:val="24"/>
        </w:rPr>
        <w:t>2015b, p. 384)</w:t>
      </w:r>
      <w:r w:rsidRPr="00F4317A">
        <w:rPr>
          <w:rFonts w:ascii="Myriad Pro" w:hAnsi="Myriad Pro"/>
          <w:sz w:val="24"/>
          <w:szCs w:val="24"/>
          <w:lang w:val="es-ES"/>
        </w:rPr>
        <w:t xml:space="preserve"> </w:t>
      </w:r>
      <w:r w:rsidRPr="00F4317A">
        <w:rPr>
          <w:rFonts w:ascii="Myriad Pro" w:hAnsi="Myriad Pro"/>
          <w:sz w:val="24"/>
          <w:szCs w:val="24"/>
          <w:lang w:val="es-ES_tradnl"/>
        </w:rPr>
        <w:t>—</w:t>
      </w:r>
      <w:r w:rsidRPr="00F4317A">
        <w:rPr>
          <w:rFonts w:ascii="Myriad Pro" w:hAnsi="Myriad Pro"/>
          <w:sz w:val="24"/>
          <w:szCs w:val="24"/>
          <w:lang w:val="es-ES"/>
        </w:rPr>
        <w:t>quien en este punto sigue a Puppe</w:t>
      </w:r>
      <w:r w:rsidR="009F33BF">
        <w:rPr>
          <w:rStyle w:val="Refdenotaalpie"/>
          <w:rFonts w:ascii="Myriad Pro" w:hAnsi="Myriad Pro"/>
          <w:sz w:val="24"/>
          <w:szCs w:val="24"/>
          <w:lang w:val="es-ES"/>
        </w:rPr>
        <w:footnoteReference w:id="28"/>
      </w:r>
      <w:r w:rsidRPr="00F4317A">
        <w:rPr>
          <w:rFonts w:ascii="Myriad Pro" w:hAnsi="Myriad Pro"/>
          <w:sz w:val="24"/>
          <w:szCs w:val="24"/>
          <w:lang w:val="es-ES_tradnl"/>
        </w:rPr>
        <w:t>—</w:t>
      </w:r>
      <w:r w:rsidRPr="00F4317A">
        <w:rPr>
          <w:rFonts w:ascii="Myriad Pro" w:hAnsi="Myriad Pro"/>
          <w:sz w:val="24"/>
          <w:szCs w:val="24"/>
          <w:lang w:val="es-ES"/>
        </w:rPr>
        <w:t xml:space="preserve"> afirma que las prestaciones realizadas en el estadio de los actos preparatorios no constituyen complicidad, si dichas prestaciones se encuentran disponibles para el autor fácilmente y de forma legal. Con el comienzo de la fase ejecutiva se concretizan el marco de condiciones con las que actúa el autor, en donde objetos y prestaciones generalmente disponibles pueden ser de ayuda para aumentar las posibilidades de éxito desde la perspectiva del autor y su plan. Aquí solamente puede erigirse como criterio decisivo la relación de inmediatez con la re</w:t>
      </w:r>
      <w:r w:rsidRPr="00F4317A">
        <w:rPr>
          <w:rFonts w:ascii="Myriad Pro" w:hAnsi="Myriad Pro"/>
          <w:sz w:val="24"/>
          <w:szCs w:val="24"/>
          <w:lang w:val="es-ES"/>
        </w:rPr>
        <w:t>a</w:t>
      </w:r>
      <w:r w:rsidRPr="00F4317A">
        <w:rPr>
          <w:rFonts w:ascii="Myriad Pro" w:hAnsi="Myriad Pro"/>
          <w:sz w:val="24"/>
          <w:szCs w:val="24"/>
          <w:lang w:val="es-ES"/>
        </w:rPr>
        <w:t>lización del hecho, de modo que dicha inmediatez hace manifiesta la necesidad de la prestación de ayuda para alcanzar el fin delictivo del autor (</w:t>
      </w:r>
      <w:r w:rsidRPr="00F4317A">
        <w:rPr>
          <w:rFonts w:ascii="Myriad Pro" w:hAnsi="Myriad Pro"/>
          <w:sz w:val="24"/>
          <w:szCs w:val="24"/>
        </w:rPr>
        <w:t>Kindhäuser</w:t>
      </w:r>
      <w:r w:rsidRPr="00F4317A">
        <w:rPr>
          <w:rFonts w:ascii="Myriad Pro" w:hAnsi="Myriad Pro"/>
          <w:sz w:val="24"/>
          <w:szCs w:val="24"/>
          <w:lang w:val="de-DE"/>
        </w:rPr>
        <w:t>, 2007a, pp. 368 y 369)</w:t>
      </w:r>
      <w:r w:rsidRPr="00F4317A">
        <w:rPr>
          <w:rFonts w:ascii="Myriad Pro" w:hAnsi="Myriad Pro"/>
          <w:sz w:val="24"/>
          <w:szCs w:val="24"/>
          <w:lang w:val="es-ES"/>
        </w:rPr>
        <w:t>.</w:t>
      </w:r>
    </w:p>
    <w:p w14:paraId="60CD8906" w14:textId="77777777" w:rsidR="00F4317A" w:rsidRPr="00F4317A" w:rsidRDefault="00F4317A" w:rsidP="00F4317A">
      <w:pPr>
        <w:spacing w:before="200"/>
        <w:jc w:val="both"/>
        <w:rPr>
          <w:rFonts w:ascii="Myriad Pro" w:hAnsi="Myriad Pro"/>
          <w:sz w:val="24"/>
          <w:szCs w:val="24"/>
          <w:lang w:val="es-ES"/>
        </w:rPr>
      </w:pPr>
      <w:r w:rsidRPr="00F4317A">
        <w:rPr>
          <w:rFonts w:ascii="Myriad Pro" w:hAnsi="Myriad Pro"/>
          <w:sz w:val="24"/>
          <w:szCs w:val="24"/>
          <w:lang w:val="es-ES"/>
        </w:rPr>
        <w:tab/>
        <w:t xml:space="preserve">Para esclarecer este argumento, Kindhäuser (2007a) recurre a la regla prevista en el </w:t>
      </w:r>
      <w:r w:rsidRPr="00F4317A">
        <w:rPr>
          <w:rFonts w:ascii="Myriad Pro" w:hAnsi="Myriad Pro"/>
          <w:sz w:val="24"/>
          <w:szCs w:val="24"/>
        </w:rPr>
        <w:t xml:space="preserve"> StGB (1871, § 224 inc. 1, no. 2) </w:t>
      </w:r>
      <w:r w:rsidRPr="00F4317A">
        <w:rPr>
          <w:rFonts w:ascii="Myriad Pro" w:hAnsi="Myriad Pro"/>
          <w:sz w:val="24"/>
          <w:szCs w:val="24"/>
          <w:lang w:val="es-ES"/>
        </w:rPr>
        <w:t xml:space="preserve">que agrava la responsabilidad penal por el delito de lesiones corporales, si ellas son causadas mediante armas u otros instrumentos peligrosos. De acuerdo con dicha regulación, mientras que las “armas” son un medio lesivo </w:t>
      </w:r>
      <w:r w:rsidRPr="00F4317A">
        <w:rPr>
          <w:rFonts w:ascii="Myriad Pro" w:hAnsi="Myriad Pro"/>
          <w:i/>
          <w:sz w:val="24"/>
          <w:szCs w:val="24"/>
          <w:lang w:val="es-ES"/>
        </w:rPr>
        <w:t>per se</w:t>
      </w:r>
      <w:r w:rsidRPr="00F4317A">
        <w:rPr>
          <w:rFonts w:ascii="Myriad Pro" w:hAnsi="Myriad Pro"/>
          <w:iCs/>
          <w:sz w:val="24"/>
          <w:szCs w:val="24"/>
          <w:lang w:val="es-ES"/>
        </w:rPr>
        <w:t>, presentando esta car</w:t>
      </w:r>
      <w:r w:rsidRPr="00F4317A">
        <w:rPr>
          <w:rFonts w:ascii="Myriad Pro" w:hAnsi="Myriad Pro"/>
          <w:sz w:val="24"/>
          <w:szCs w:val="24"/>
          <w:lang w:val="es-ES"/>
        </w:rPr>
        <w:t>acterística de forma abstracta, instrumentos peligrosos son objetos que obtienen su peligrosidad mediante el determinado y concr</w:t>
      </w:r>
      <w:r w:rsidRPr="00F4317A">
        <w:rPr>
          <w:rFonts w:ascii="Myriad Pro" w:hAnsi="Myriad Pro"/>
          <w:sz w:val="24"/>
          <w:szCs w:val="24"/>
          <w:lang w:val="es-ES"/>
        </w:rPr>
        <w:t>e</w:t>
      </w:r>
      <w:r w:rsidRPr="00F4317A">
        <w:rPr>
          <w:rFonts w:ascii="Myriad Pro" w:hAnsi="Myriad Pro"/>
          <w:sz w:val="24"/>
          <w:szCs w:val="24"/>
          <w:lang w:val="es-ES"/>
        </w:rPr>
        <w:t>to uso de estos. Dicho criterio objetivo, puede ser útil para distinguir entre compo</w:t>
      </w:r>
      <w:r w:rsidRPr="00F4317A">
        <w:rPr>
          <w:rFonts w:ascii="Myriad Pro" w:hAnsi="Myriad Pro"/>
          <w:sz w:val="24"/>
          <w:szCs w:val="24"/>
          <w:lang w:val="es-ES"/>
        </w:rPr>
        <w:t>r</w:t>
      </w:r>
      <w:r w:rsidRPr="00F4317A">
        <w:rPr>
          <w:rFonts w:ascii="Myriad Pro" w:hAnsi="Myriad Pro"/>
          <w:sz w:val="24"/>
          <w:szCs w:val="24"/>
          <w:lang w:val="es-ES"/>
        </w:rPr>
        <w:t>tamientos de colaboración punibles de aquellos que no lo son. Mientras la entrega de un arma, sin referencias adicionales a un determinado contexto, puede ser visto objetivamente como complicidad de una lesión corporal posterior –esto vale no solo para medios ilícitos, sino que también para medios lícitos e idóneos. Kindhäuser (1997, p. 273 y ss.) utiliza como ejemplo un informe pericial falso sobre el supuesto valor de una piedra preciosa, pese a que ello constituye solo una mentira escrita no punible</w:t>
      </w:r>
      <w:r w:rsidRPr="00F4317A">
        <w:rPr>
          <w:rFonts w:ascii="Myriad Pro" w:hAnsi="Myriad Pro"/>
          <w:bCs/>
          <w:sz w:val="24"/>
          <w:szCs w:val="24"/>
        </w:rPr>
        <w:t>–</w:t>
      </w:r>
      <w:r w:rsidRPr="00F4317A">
        <w:rPr>
          <w:rFonts w:ascii="Myriad Pro" w:hAnsi="Myriad Pro"/>
          <w:sz w:val="24"/>
          <w:szCs w:val="24"/>
          <w:lang w:val="es-ES"/>
        </w:rPr>
        <w:t>, no se puede arribar a la misma conclusión respecto de un pañuelo de seda, el cual podría ser contextualmente útil para estrangular a una pe</w:t>
      </w:r>
      <w:r w:rsidRPr="00F4317A">
        <w:rPr>
          <w:rFonts w:ascii="Myriad Pro" w:hAnsi="Myriad Pro"/>
          <w:sz w:val="24"/>
          <w:szCs w:val="24"/>
          <w:lang w:val="es-ES"/>
        </w:rPr>
        <w:t>r</w:t>
      </w:r>
      <w:r w:rsidRPr="00F4317A">
        <w:rPr>
          <w:rFonts w:ascii="Myriad Pro" w:hAnsi="Myriad Pro"/>
          <w:sz w:val="24"/>
          <w:szCs w:val="24"/>
          <w:lang w:val="es-ES"/>
        </w:rPr>
        <w:lastRenderedPageBreak/>
        <w:t>sona (</w:t>
      </w:r>
      <w:r w:rsidRPr="00F4317A">
        <w:rPr>
          <w:rFonts w:ascii="Myriad Pro" w:hAnsi="Myriad Pro"/>
          <w:sz w:val="24"/>
          <w:szCs w:val="24"/>
        </w:rPr>
        <w:t>Kindhäuser, 2007a, p. 364 y ss.)</w:t>
      </w:r>
      <w:r w:rsidRPr="00F4317A">
        <w:rPr>
          <w:rStyle w:val="Ancladenotaalpie"/>
          <w:rFonts w:ascii="Myriad Pro" w:hAnsi="Myriad Pro"/>
          <w:sz w:val="24"/>
          <w:szCs w:val="24"/>
        </w:rPr>
        <w:footnoteReference w:id="29"/>
      </w:r>
      <w:r w:rsidRPr="00F4317A">
        <w:rPr>
          <w:rFonts w:ascii="Myriad Pro" w:hAnsi="Myriad Pro"/>
          <w:sz w:val="24"/>
          <w:szCs w:val="24"/>
        </w:rPr>
        <w:t>.</w:t>
      </w:r>
      <w:r w:rsidRPr="00F4317A">
        <w:rPr>
          <w:rFonts w:ascii="Myriad Pro" w:hAnsi="Myriad Pro"/>
          <w:sz w:val="24"/>
          <w:szCs w:val="24"/>
          <w:lang w:val="es-ES"/>
        </w:rPr>
        <w:t xml:space="preserve"> En un caso de tales características, resultaría de gran dificultad sostener que el vendedor del pañuelo de seda habría vendido un instrumento peligroso o realizado un acto de colaboración para una l</w:t>
      </w:r>
      <w:r w:rsidRPr="00F4317A">
        <w:rPr>
          <w:rFonts w:ascii="Myriad Pro" w:hAnsi="Myriad Pro"/>
          <w:sz w:val="24"/>
          <w:szCs w:val="24"/>
          <w:lang w:val="es-ES"/>
        </w:rPr>
        <w:t>e</w:t>
      </w:r>
      <w:r w:rsidRPr="00F4317A">
        <w:rPr>
          <w:rFonts w:ascii="Myriad Pro" w:hAnsi="Myriad Pro"/>
          <w:sz w:val="24"/>
          <w:szCs w:val="24"/>
          <w:lang w:val="es-ES"/>
        </w:rPr>
        <w:t>sión corporal posterior, dado que no es la venta, sino que el posterior uso que de él se hace, lo que lo constituye en un objeto penalmente relevante. De esta forma, si bien ambos obj</w:t>
      </w:r>
      <w:r w:rsidRPr="00F4317A">
        <w:rPr>
          <w:rFonts w:ascii="Myriad Pro" w:hAnsi="Myriad Pro"/>
          <w:sz w:val="24"/>
          <w:szCs w:val="24"/>
          <w:lang w:val="es-ES"/>
        </w:rPr>
        <w:t>e</w:t>
      </w:r>
      <w:r w:rsidRPr="00F4317A">
        <w:rPr>
          <w:rFonts w:ascii="Myriad Pro" w:hAnsi="Myriad Pro"/>
          <w:sz w:val="24"/>
          <w:szCs w:val="24"/>
          <w:lang w:val="es-ES"/>
        </w:rPr>
        <w:t>tos son medios de ayuda para la acción específica posterior, solo puede ser afirmada respecto del arma que ella contiene dicha característica con independencia del m</w:t>
      </w:r>
      <w:r w:rsidRPr="00F4317A">
        <w:rPr>
          <w:rFonts w:ascii="Myriad Pro" w:hAnsi="Myriad Pro"/>
          <w:sz w:val="24"/>
          <w:szCs w:val="24"/>
          <w:lang w:val="es-ES"/>
        </w:rPr>
        <w:t>o</w:t>
      </w:r>
      <w:r w:rsidRPr="00F4317A">
        <w:rPr>
          <w:rFonts w:ascii="Myriad Pro" w:hAnsi="Myriad Pro"/>
          <w:sz w:val="24"/>
          <w:szCs w:val="24"/>
          <w:lang w:val="es-ES"/>
        </w:rPr>
        <w:t>mento de su uso (</w:t>
      </w:r>
      <w:r w:rsidRPr="00F4317A">
        <w:rPr>
          <w:rFonts w:ascii="Myriad Pro" w:hAnsi="Myriad Pro"/>
          <w:sz w:val="24"/>
          <w:szCs w:val="24"/>
        </w:rPr>
        <w:t>Kindhäuser, 2015b, p. 384).</w:t>
      </w:r>
    </w:p>
    <w:p w14:paraId="480E9ECB" w14:textId="77777777" w:rsidR="00F4317A" w:rsidRPr="00F4317A" w:rsidRDefault="00F4317A" w:rsidP="00F4317A">
      <w:pPr>
        <w:spacing w:before="200"/>
        <w:jc w:val="both"/>
        <w:rPr>
          <w:rFonts w:ascii="Myriad Pro" w:hAnsi="Myriad Pro"/>
          <w:sz w:val="24"/>
          <w:szCs w:val="24"/>
          <w:lang w:val="es-ES"/>
        </w:rPr>
      </w:pPr>
      <w:r w:rsidRPr="00F4317A">
        <w:rPr>
          <w:rFonts w:ascii="Myriad Pro" w:hAnsi="Myriad Pro"/>
          <w:sz w:val="24"/>
          <w:szCs w:val="24"/>
          <w:lang w:val="es-ES"/>
        </w:rPr>
        <w:tab/>
        <w:t>Los fundamentos de dicha exclusión, se encuentran en la distinción entre dos tipos de condiciones causales necesarias para aclarar un determinado suceso dañ</w:t>
      </w:r>
      <w:r w:rsidRPr="00F4317A">
        <w:rPr>
          <w:rFonts w:ascii="Myriad Pro" w:hAnsi="Myriad Pro"/>
          <w:sz w:val="24"/>
          <w:szCs w:val="24"/>
          <w:lang w:val="es-ES"/>
        </w:rPr>
        <w:t>o</w:t>
      </w:r>
      <w:r w:rsidRPr="00F4317A">
        <w:rPr>
          <w:rFonts w:ascii="Myriad Pro" w:hAnsi="Myriad Pro"/>
          <w:sz w:val="24"/>
          <w:szCs w:val="24"/>
          <w:lang w:val="es-ES"/>
        </w:rPr>
        <w:t>so. Mientras que solo una condición suficiente puede realizar el tipo penal, al mismo tiempo las restantes condiciones (necesarias mas no suficientes) de dicho evento pueden ser vistas como condiciones auxiliares (</w:t>
      </w:r>
      <w:r w:rsidRPr="00F4317A">
        <w:rPr>
          <w:rFonts w:ascii="Myriad Pro" w:hAnsi="Myriad Pro"/>
          <w:sz w:val="24"/>
          <w:szCs w:val="24"/>
        </w:rPr>
        <w:t>Kindhäuser, 2007a, p. 367)</w:t>
      </w:r>
      <w:r w:rsidRPr="00F4317A">
        <w:rPr>
          <w:rFonts w:ascii="Myriad Pro" w:hAnsi="Myriad Pro"/>
          <w:sz w:val="24"/>
          <w:szCs w:val="24"/>
          <w:lang w:val="es-ES"/>
        </w:rPr>
        <w:t>. Sin e</w:t>
      </w:r>
      <w:r w:rsidRPr="00F4317A">
        <w:rPr>
          <w:rFonts w:ascii="Myriad Pro" w:hAnsi="Myriad Pro"/>
          <w:sz w:val="24"/>
          <w:szCs w:val="24"/>
          <w:lang w:val="es-ES"/>
        </w:rPr>
        <w:t>m</w:t>
      </w:r>
      <w:r w:rsidRPr="00F4317A">
        <w:rPr>
          <w:rFonts w:ascii="Myriad Pro" w:hAnsi="Myriad Pro"/>
          <w:sz w:val="24"/>
          <w:szCs w:val="24"/>
          <w:lang w:val="es-ES"/>
        </w:rPr>
        <w:t>bargo, es posible realizar una indagación adicional dentro del campo causal del a</w:t>
      </w:r>
      <w:r w:rsidRPr="00F4317A">
        <w:rPr>
          <w:rFonts w:ascii="Myriad Pro" w:hAnsi="Myriad Pro"/>
          <w:sz w:val="24"/>
          <w:szCs w:val="24"/>
          <w:lang w:val="es-ES"/>
        </w:rPr>
        <w:t>u</w:t>
      </w:r>
      <w:r w:rsidRPr="00F4317A">
        <w:rPr>
          <w:rFonts w:ascii="Myriad Pro" w:hAnsi="Myriad Pro"/>
          <w:sz w:val="24"/>
          <w:szCs w:val="24"/>
          <w:lang w:val="es-ES"/>
        </w:rPr>
        <w:t>tor. Por una parte, habría condiciones que sirven de base para una aclaración causal, es decir, que son designadas como condiciones dadas para una aclaración causal de un suceso dañoso. En dicho grupo se encuentran no solo condiciones naturales (v. gr. el oxígeno para el origen de un incendio), sino que también acciones humanas que constituyan condiciones esperables en un determinado momento. Por otra pa</w:t>
      </w:r>
      <w:r w:rsidRPr="00F4317A">
        <w:rPr>
          <w:rFonts w:ascii="Myriad Pro" w:hAnsi="Myriad Pro"/>
          <w:sz w:val="24"/>
          <w:szCs w:val="24"/>
          <w:lang w:val="es-ES"/>
        </w:rPr>
        <w:t>r</w:t>
      </w:r>
      <w:r w:rsidRPr="00F4317A">
        <w:rPr>
          <w:rFonts w:ascii="Myriad Pro" w:hAnsi="Myriad Pro"/>
          <w:sz w:val="24"/>
          <w:szCs w:val="24"/>
          <w:lang w:val="es-ES"/>
        </w:rPr>
        <w:t>te, existen condiciones que son inesperadas, como aquellas que provienen, por ejemplo, de una contravención de una expectativa normativa. Dichas condiciones inesperadas, deben ser relevantes para fundar la atribución de responsabilidad por la producción de un resultado injusto, pudiendo constituir actos de colaboración pun</w:t>
      </w:r>
      <w:r w:rsidRPr="00F4317A">
        <w:rPr>
          <w:rFonts w:ascii="Myriad Pro" w:hAnsi="Myriad Pro"/>
          <w:sz w:val="24"/>
          <w:szCs w:val="24"/>
          <w:lang w:val="es-ES"/>
        </w:rPr>
        <w:t>i</w:t>
      </w:r>
      <w:r w:rsidRPr="00F4317A">
        <w:rPr>
          <w:rFonts w:ascii="Myriad Pro" w:hAnsi="Myriad Pro"/>
          <w:sz w:val="24"/>
          <w:szCs w:val="24"/>
          <w:lang w:val="es-ES"/>
        </w:rPr>
        <w:t>bles a título de complicidad (</w:t>
      </w:r>
      <w:r w:rsidRPr="00F4317A">
        <w:rPr>
          <w:rFonts w:ascii="Myriad Pro" w:hAnsi="Myriad Pro"/>
          <w:sz w:val="24"/>
          <w:szCs w:val="24"/>
        </w:rPr>
        <w:t>Kindhäuser, 2007a, p. 366)</w:t>
      </w:r>
      <w:r w:rsidRPr="00F4317A">
        <w:rPr>
          <w:rFonts w:ascii="Myriad Pro" w:hAnsi="Myriad Pro"/>
          <w:sz w:val="24"/>
          <w:szCs w:val="24"/>
          <w:lang w:val="es-ES"/>
        </w:rPr>
        <w:t>.</w:t>
      </w:r>
    </w:p>
    <w:p w14:paraId="73EEB5FF" w14:textId="29448B13" w:rsidR="00F4317A" w:rsidRDefault="00F4317A" w:rsidP="00F4317A">
      <w:pPr>
        <w:spacing w:before="200"/>
        <w:jc w:val="both"/>
        <w:rPr>
          <w:rFonts w:ascii="Myriad Pro" w:hAnsi="Myriad Pro"/>
          <w:sz w:val="24"/>
          <w:szCs w:val="24"/>
          <w:lang w:val="es-ES"/>
        </w:rPr>
      </w:pPr>
      <w:r w:rsidRPr="00F4317A">
        <w:rPr>
          <w:rFonts w:ascii="Myriad Pro" w:hAnsi="Myriad Pro"/>
          <w:sz w:val="24"/>
          <w:szCs w:val="24"/>
          <w:lang w:val="es-ES"/>
        </w:rPr>
        <w:tab/>
        <w:t>Pese a que esta propuesta aún no ha sido sometida a crítica, es imaginable que le será dirigida la misma crítica formulada en contra de la consideración de s</w:t>
      </w:r>
      <w:r w:rsidRPr="00F4317A">
        <w:rPr>
          <w:rFonts w:ascii="Myriad Pro" w:hAnsi="Myriad Pro"/>
          <w:sz w:val="24"/>
          <w:szCs w:val="24"/>
          <w:lang w:val="es-ES"/>
        </w:rPr>
        <w:t>u</w:t>
      </w:r>
      <w:r w:rsidRPr="00F4317A">
        <w:rPr>
          <w:rFonts w:ascii="Myriad Pro" w:hAnsi="Myriad Pro"/>
          <w:sz w:val="24"/>
          <w:szCs w:val="24"/>
          <w:lang w:val="es-ES"/>
        </w:rPr>
        <w:t>puestos cursos causales hipotéticos</w:t>
      </w:r>
      <w:r w:rsidRPr="00F4317A">
        <w:rPr>
          <w:rStyle w:val="Ancladenotaalpie"/>
          <w:rFonts w:ascii="Myriad Pro" w:hAnsi="Myriad Pro"/>
          <w:sz w:val="24"/>
          <w:szCs w:val="24"/>
        </w:rPr>
        <w:footnoteReference w:id="30"/>
      </w:r>
      <w:r w:rsidRPr="00F4317A">
        <w:rPr>
          <w:rFonts w:ascii="Myriad Pro" w:hAnsi="Myriad Pro"/>
          <w:sz w:val="24"/>
          <w:szCs w:val="24"/>
        </w:rPr>
        <w:t>.</w:t>
      </w:r>
      <w:r w:rsidRPr="00F4317A">
        <w:rPr>
          <w:rFonts w:ascii="Myriad Pro" w:hAnsi="Myriad Pro"/>
          <w:sz w:val="24"/>
          <w:szCs w:val="24"/>
          <w:lang w:val="es-ES"/>
        </w:rPr>
        <w:t xml:space="preserve"> Otra objeción que podría ser formulada, sería la búsqueda de una solución sin recurrir primariamente al carácter profesional de la conducta, o sin comenzar el análisis desde dicha característica (Kudlich, 2004, p. 92). Sin embargo, dicha característica es –correctamente visto– una fortaleza de esta pr</w:t>
      </w:r>
      <w:r w:rsidRPr="00F4317A">
        <w:rPr>
          <w:rFonts w:ascii="Myriad Pro" w:hAnsi="Myriad Pro"/>
          <w:sz w:val="24"/>
          <w:szCs w:val="24"/>
          <w:lang w:val="es-ES"/>
        </w:rPr>
        <w:t>o</w:t>
      </w:r>
      <w:r w:rsidRPr="00F4317A">
        <w:rPr>
          <w:rFonts w:ascii="Myriad Pro" w:hAnsi="Myriad Pro"/>
          <w:sz w:val="24"/>
          <w:szCs w:val="24"/>
          <w:lang w:val="es-ES"/>
        </w:rPr>
        <w:t>puesta, en relación a aquellos que se sitúan en contra de un tratamiento privilegiado para las acciones profesionales. Finalmente, podría ser criticable la distinción que formula esta propuesta entre la fase previa y la fase ejecutiva del delito, dado que dicha distinción no se funda en el tenor literal de la disposición legal. Sin embargo, la consideración temporal es imprescindible para fundar el carácter colaborativo de un compor</w:t>
      </w:r>
      <w:r>
        <w:rPr>
          <w:rFonts w:ascii="Myriad Pro" w:hAnsi="Myriad Pro"/>
          <w:sz w:val="24"/>
          <w:szCs w:val="24"/>
          <w:lang w:val="es-ES"/>
        </w:rPr>
        <w:t xml:space="preserve">tamiento en relación con otro. </w:t>
      </w:r>
    </w:p>
    <w:p w14:paraId="350F39B2" w14:textId="77777777" w:rsidR="008B1EED" w:rsidRPr="00F4317A" w:rsidRDefault="008B1EED" w:rsidP="008B1EED">
      <w:pPr>
        <w:spacing w:before="200" w:after="0" w:line="240" w:lineRule="auto"/>
        <w:jc w:val="both"/>
        <w:rPr>
          <w:rFonts w:ascii="Myriad Pro" w:hAnsi="Myriad Pro"/>
          <w:sz w:val="24"/>
          <w:szCs w:val="24"/>
          <w:lang w:val="es-ES"/>
        </w:rPr>
      </w:pPr>
    </w:p>
    <w:p w14:paraId="01B3E9A4" w14:textId="77581719" w:rsidR="00ED3A51" w:rsidRPr="008B1EED" w:rsidRDefault="00ED3A51" w:rsidP="008B1EED">
      <w:pPr>
        <w:spacing w:after="0" w:line="240" w:lineRule="auto"/>
        <w:jc w:val="center"/>
        <w:rPr>
          <w:rFonts w:ascii="Myriad Pro" w:hAnsi="Myriad Pro"/>
          <w:b/>
          <w:sz w:val="28"/>
          <w:szCs w:val="28"/>
          <w:lang w:val="es-ES"/>
        </w:rPr>
      </w:pPr>
      <w:r w:rsidRPr="008B1EED">
        <w:rPr>
          <w:rFonts w:ascii="Myriad Pro" w:hAnsi="Myriad Pro"/>
          <w:b/>
          <w:sz w:val="28"/>
          <w:szCs w:val="28"/>
          <w:lang w:val="es-ES"/>
        </w:rPr>
        <w:t xml:space="preserve">1.3. </w:t>
      </w:r>
      <w:r w:rsidR="00F4317A" w:rsidRPr="008B1EED">
        <w:rPr>
          <w:rFonts w:ascii="Myriad Pro" w:hAnsi="Myriad Pro"/>
          <w:b/>
          <w:sz w:val="28"/>
          <w:szCs w:val="28"/>
          <w:lang w:val="es-ES"/>
        </w:rPr>
        <w:t>Modelo objetivo-subjetivo. La teoría dominante y el criterio de la j</w:t>
      </w:r>
      <w:r w:rsidR="00F4317A" w:rsidRPr="008B1EED">
        <w:rPr>
          <w:rFonts w:ascii="Myriad Pro" w:hAnsi="Myriad Pro"/>
          <w:b/>
          <w:sz w:val="28"/>
          <w:szCs w:val="28"/>
          <w:lang w:val="es-ES"/>
        </w:rPr>
        <w:t>u</w:t>
      </w:r>
      <w:r w:rsidR="00F4317A" w:rsidRPr="008B1EED">
        <w:rPr>
          <w:rFonts w:ascii="Myriad Pro" w:hAnsi="Myriad Pro"/>
          <w:b/>
          <w:sz w:val="28"/>
          <w:szCs w:val="28"/>
          <w:lang w:val="es-ES"/>
        </w:rPr>
        <w:t>risprudencia</w:t>
      </w:r>
    </w:p>
    <w:p w14:paraId="24253775" w14:textId="77777777" w:rsidR="008B1EED" w:rsidRDefault="008B1EED" w:rsidP="008B1EED">
      <w:pPr>
        <w:spacing w:after="0" w:line="240" w:lineRule="auto"/>
        <w:jc w:val="both"/>
        <w:rPr>
          <w:rFonts w:ascii="Myriad Pro" w:hAnsi="Myriad Pro"/>
          <w:bCs/>
          <w:sz w:val="24"/>
          <w:szCs w:val="24"/>
          <w:lang w:val="es-ES"/>
        </w:rPr>
      </w:pPr>
    </w:p>
    <w:p w14:paraId="4C4B85C4" w14:textId="143A9B8C" w:rsidR="00635592" w:rsidRDefault="00635592" w:rsidP="00635592">
      <w:pPr>
        <w:jc w:val="both"/>
        <w:rPr>
          <w:rFonts w:ascii="Myriad Pro" w:hAnsi="Myriad Pro"/>
          <w:bCs/>
          <w:sz w:val="24"/>
          <w:szCs w:val="24"/>
          <w:lang w:val="es-ES"/>
        </w:rPr>
      </w:pPr>
      <w:r>
        <w:rPr>
          <w:rFonts w:ascii="Myriad Pro" w:hAnsi="Myriad Pro"/>
          <w:bCs/>
          <w:sz w:val="24"/>
          <w:szCs w:val="24"/>
          <w:lang w:val="es-ES"/>
        </w:rPr>
        <w:tab/>
      </w:r>
      <w:r w:rsidRPr="00635592">
        <w:rPr>
          <w:rFonts w:ascii="Myriad Pro" w:hAnsi="Myriad Pro"/>
          <w:bCs/>
          <w:sz w:val="24"/>
          <w:szCs w:val="24"/>
          <w:lang w:val="es-ES"/>
        </w:rPr>
        <w:t>Una teoría mixta (objetiva-subjetiva), se caracteriza por el recurso conjunto a ambos puntos de vista para delimitar a las acciones de apoyo punibles de aquellas impunes. Sin embargo, no resulta completamente claro en cuál orden es aplicado cada elemento, ni cuál filtro tiene más peso en el análisis –s</w:t>
      </w:r>
      <w:r w:rsidRPr="00635592">
        <w:rPr>
          <w:rFonts w:ascii="Myriad Pro" w:hAnsi="Myriad Pro"/>
          <w:sz w:val="24"/>
          <w:szCs w:val="24"/>
          <w:lang w:val="es-ES"/>
        </w:rPr>
        <w:t xml:space="preserve">e debe concordar con </w:t>
      </w:r>
      <w:r w:rsidRPr="00635592">
        <w:rPr>
          <w:rFonts w:ascii="Myriad Pro" w:hAnsi="Myriad Pro"/>
          <w:sz w:val="24"/>
          <w:szCs w:val="24"/>
        </w:rPr>
        <w:t>Robles Planas</w:t>
      </w:r>
      <w:r w:rsidRPr="00635592">
        <w:rPr>
          <w:rFonts w:ascii="Myriad Pro" w:hAnsi="Myriad Pro"/>
          <w:sz w:val="24"/>
          <w:szCs w:val="24"/>
          <w:lang w:val="es-ES"/>
        </w:rPr>
        <w:t xml:space="preserve"> (2003, p. 57 y ss.) cuando sostiene que la teoría aquí expuesta debe ser clasificada simplemente como una teoría subjetiva</w:t>
      </w:r>
      <w:r w:rsidRPr="00635592">
        <w:rPr>
          <w:rFonts w:ascii="Myriad Pro" w:hAnsi="Myriad Pro"/>
          <w:sz w:val="24"/>
          <w:szCs w:val="24"/>
        </w:rPr>
        <w:t xml:space="preserve">; así también Kindhäuser (2007a, p. 358). </w:t>
      </w:r>
      <w:r w:rsidRPr="00635592">
        <w:rPr>
          <w:rFonts w:ascii="Myriad Pro" w:hAnsi="Myriad Pro"/>
          <w:sz w:val="24"/>
          <w:szCs w:val="24"/>
          <w:lang w:val="es-ES"/>
        </w:rPr>
        <w:t xml:space="preserve">Pese a que aquí se sigue la clasificación propuesta por </w:t>
      </w:r>
      <w:r w:rsidRPr="00635592">
        <w:rPr>
          <w:rFonts w:ascii="Myriad Pro" w:hAnsi="Myriad Pro"/>
          <w:sz w:val="24"/>
          <w:szCs w:val="24"/>
        </w:rPr>
        <w:t>Roxin–</w:t>
      </w:r>
      <w:r w:rsidRPr="00635592">
        <w:rPr>
          <w:rFonts w:ascii="Myriad Pro" w:hAnsi="Myriad Pro"/>
          <w:bCs/>
          <w:sz w:val="24"/>
          <w:szCs w:val="24"/>
          <w:lang w:val="es-ES"/>
        </w:rPr>
        <w:t>. Algunas veces es aplicado primero el criterio subjetivo (v. gr. el conocimiento sobre la realización deli</w:t>
      </w:r>
      <w:r w:rsidRPr="00635592">
        <w:rPr>
          <w:rFonts w:ascii="Myriad Pro" w:hAnsi="Myriad Pro"/>
          <w:bCs/>
          <w:sz w:val="24"/>
          <w:szCs w:val="24"/>
          <w:lang w:val="es-ES"/>
        </w:rPr>
        <w:t>c</w:t>
      </w:r>
      <w:r w:rsidRPr="00635592">
        <w:rPr>
          <w:rFonts w:ascii="Myriad Pro" w:hAnsi="Myriad Pro"/>
          <w:bCs/>
          <w:sz w:val="24"/>
          <w:szCs w:val="24"/>
          <w:lang w:val="es-ES"/>
        </w:rPr>
        <w:t>tiva posterior), en otras es utilizado un criterio no suficientemente definido en cuanto a su naturaleza objetiva o subjetiva, como lo es la “disposición reconocible a realizar el hecho”. Una parte de la literatura y la jurisprudencia reciente adhiere a este crit</w:t>
      </w:r>
      <w:r w:rsidRPr="00635592">
        <w:rPr>
          <w:rFonts w:ascii="Myriad Pro" w:hAnsi="Myriad Pro"/>
          <w:bCs/>
          <w:sz w:val="24"/>
          <w:szCs w:val="24"/>
          <w:lang w:val="es-ES"/>
        </w:rPr>
        <w:t>e</w:t>
      </w:r>
      <w:r w:rsidRPr="00635592">
        <w:rPr>
          <w:rFonts w:ascii="Myriad Pro" w:hAnsi="Myriad Pro"/>
          <w:bCs/>
          <w:sz w:val="24"/>
          <w:szCs w:val="24"/>
          <w:lang w:val="es-ES"/>
        </w:rPr>
        <w:t xml:space="preserve">rio, por lo que se ha convertido en la postura dominante en Alemania. </w:t>
      </w:r>
    </w:p>
    <w:p w14:paraId="6BC6CD38" w14:textId="77777777" w:rsidR="008B1EED" w:rsidRDefault="008B1EED" w:rsidP="008B1EED">
      <w:pPr>
        <w:spacing w:after="0" w:line="240" w:lineRule="auto"/>
        <w:jc w:val="both"/>
        <w:rPr>
          <w:rFonts w:ascii="Myriad Pro" w:hAnsi="Myriad Pro"/>
          <w:bCs/>
          <w:sz w:val="24"/>
          <w:szCs w:val="24"/>
          <w:lang w:val="es-ES"/>
        </w:rPr>
      </w:pPr>
    </w:p>
    <w:p w14:paraId="276E122B" w14:textId="7C8D91DE" w:rsidR="00635592" w:rsidRPr="008B1EED" w:rsidRDefault="00635592" w:rsidP="008B1EED">
      <w:pPr>
        <w:spacing w:after="0" w:line="240" w:lineRule="auto"/>
        <w:jc w:val="center"/>
        <w:rPr>
          <w:rFonts w:ascii="Myriad Pro" w:hAnsi="Myriad Pro"/>
          <w:b/>
          <w:sz w:val="24"/>
          <w:szCs w:val="24"/>
        </w:rPr>
      </w:pPr>
      <w:r w:rsidRPr="008B1EED">
        <w:rPr>
          <w:rFonts w:ascii="Myriad Pro" w:hAnsi="Myriad Pro"/>
          <w:b/>
          <w:sz w:val="24"/>
          <w:szCs w:val="24"/>
          <w:lang w:val="es-ES"/>
        </w:rPr>
        <w:t xml:space="preserve">1.3.1. </w:t>
      </w:r>
      <w:r w:rsidRPr="008B1EED">
        <w:rPr>
          <w:rFonts w:ascii="Myriad Pro" w:hAnsi="Myriad Pro"/>
          <w:b/>
          <w:sz w:val="24"/>
          <w:szCs w:val="24"/>
        </w:rPr>
        <w:t>Relación de sentido delictivo</w:t>
      </w:r>
      <w:r w:rsidRPr="008B1EED">
        <w:rPr>
          <w:rStyle w:val="Ancladenotaalpie"/>
          <w:rFonts w:ascii="Myriad Pro" w:hAnsi="Myriad Pro"/>
          <w:b/>
          <w:bCs/>
          <w:sz w:val="24"/>
          <w:szCs w:val="24"/>
        </w:rPr>
        <w:footnoteReference w:id="31"/>
      </w:r>
      <w:r w:rsidRPr="008B1EED">
        <w:rPr>
          <w:rFonts w:ascii="Myriad Pro" w:hAnsi="Myriad Pro"/>
          <w:b/>
          <w:sz w:val="24"/>
          <w:szCs w:val="24"/>
        </w:rPr>
        <w:t xml:space="preserve"> y disposición reconocible a realizar el h</w:t>
      </w:r>
      <w:r w:rsidRPr="008B1EED">
        <w:rPr>
          <w:rFonts w:ascii="Myriad Pro" w:hAnsi="Myriad Pro"/>
          <w:b/>
          <w:sz w:val="24"/>
          <w:szCs w:val="24"/>
        </w:rPr>
        <w:t>e</w:t>
      </w:r>
      <w:r w:rsidRPr="008B1EED">
        <w:rPr>
          <w:rFonts w:ascii="Myriad Pro" w:hAnsi="Myriad Pro"/>
          <w:b/>
          <w:sz w:val="24"/>
          <w:szCs w:val="24"/>
        </w:rPr>
        <w:t>cho</w:t>
      </w:r>
    </w:p>
    <w:p w14:paraId="44BBD0E2" w14:textId="77777777" w:rsidR="008B1EED" w:rsidRDefault="008B1EED" w:rsidP="008B1EED">
      <w:pPr>
        <w:spacing w:after="0" w:line="240" w:lineRule="auto"/>
        <w:jc w:val="both"/>
        <w:rPr>
          <w:rFonts w:ascii="Myriad Pro" w:hAnsi="Myriad Pro"/>
          <w:bCs/>
          <w:sz w:val="24"/>
          <w:szCs w:val="24"/>
          <w:lang w:val="es-ES"/>
        </w:rPr>
      </w:pPr>
    </w:p>
    <w:p w14:paraId="31537669" w14:textId="529D6C77" w:rsidR="00635592" w:rsidRPr="00635592" w:rsidRDefault="00635592" w:rsidP="00635592">
      <w:pPr>
        <w:spacing w:before="200"/>
        <w:jc w:val="both"/>
        <w:rPr>
          <w:rFonts w:ascii="Myriad Pro" w:hAnsi="Myriad Pro"/>
          <w:bCs/>
          <w:sz w:val="24"/>
          <w:szCs w:val="24"/>
          <w:lang w:val="es-ES"/>
        </w:rPr>
      </w:pPr>
      <w:r>
        <w:rPr>
          <w:rFonts w:ascii="Myriad Pro" w:hAnsi="Myriad Pro"/>
          <w:bCs/>
          <w:sz w:val="24"/>
          <w:szCs w:val="24"/>
          <w:lang w:val="es-ES"/>
        </w:rPr>
        <w:tab/>
      </w:r>
      <w:r w:rsidRPr="00635592">
        <w:rPr>
          <w:rFonts w:ascii="Myriad Pro" w:hAnsi="Myriad Pro"/>
          <w:bCs/>
          <w:sz w:val="24"/>
          <w:szCs w:val="24"/>
          <w:lang w:val="es-ES"/>
        </w:rPr>
        <w:t>La parte subjetiva de la teoría es explicada por Roxin (2003, p. 214 y ss.) y Schünemann (2007</w:t>
      </w:r>
      <w:r w:rsidRPr="00635592">
        <w:rPr>
          <w:rFonts w:ascii="Myriad Pro" w:hAnsi="Myriad Pro"/>
          <w:iCs/>
          <w:sz w:val="24"/>
          <w:szCs w:val="24"/>
        </w:rPr>
        <w:t xml:space="preserve">, </w:t>
      </w:r>
      <w:r w:rsidRPr="00635592">
        <w:rPr>
          <w:rFonts w:ascii="Myriad Pro" w:hAnsi="Myriad Pro"/>
          <w:sz w:val="24"/>
          <w:szCs w:val="24"/>
        </w:rPr>
        <w:t xml:space="preserve">§ 27, </w:t>
      </w:r>
      <w:r w:rsidRPr="00635592">
        <w:rPr>
          <w:rFonts w:ascii="Myriad Pro" w:hAnsi="Myriad Pro"/>
          <w:iCs/>
          <w:sz w:val="24"/>
          <w:szCs w:val="24"/>
        </w:rPr>
        <w:t>Nm. 17y ss.)</w:t>
      </w:r>
      <w:r w:rsidRPr="00635592">
        <w:rPr>
          <w:rFonts w:ascii="Myriad Pro" w:hAnsi="Myriad Pro"/>
          <w:bCs/>
          <w:sz w:val="24"/>
          <w:szCs w:val="24"/>
          <w:lang w:val="es-ES"/>
        </w:rPr>
        <w:t xml:space="preserve"> por medio del siguiente criterio: </w:t>
      </w:r>
      <w:r w:rsidRPr="00635592">
        <w:rPr>
          <w:rFonts w:ascii="Myriad Pro" w:hAnsi="Myriad Pro"/>
          <w:bCs/>
          <w:i/>
          <w:sz w:val="24"/>
          <w:szCs w:val="24"/>
        </w:rPr>
        <w:t>Der Beitrage</w:t>
      </w:r>
      <w:r w:rsidRPr="00635592">
        <w:rPr>
          <w:rFonts w:ascii="Myriad Pro" w:hAnsi="Myriad Pro"/>
          <w:bCs/>
          <w:i/>
          <w:sz w:val="24"/>
          <w:szCs w:val="24"/>
        </w:rPr>
        <w:t>n</w:t>
      </w:r>
      <w:r w:rsidRPr="00635592">
        <w:rPr>
          <w:rFonts w:ascii="Myriad Pro" w:hAnsi="Myriad Pro"/>
          <w:bCs/>
          <w:i/>
          <w:sz w:val="24"/>
          <w:szCs w:val="24"/>
        </w:rPr>
        <w:t>de kennt den Deliktentschluss des Täters oder rechnet lediglich mit einem deliktischen Verhalten des Täters</w:t>
      </w:r>
      <w:r w:rsidRPr="00635592">
        <w:rPr>
          <w:rStyle w:val="Ancladenotaalpie"/>
          <w:rFonts w:ascii="Myriad Pro" w:hAnsi="Myriad Pro"/>
          <w:bCs/>
          <w:sz w:val="24"/>
          <w:szCs w:val="24"/>
          <w:lang w:val="es-ES"/>
        </w:rPr>
        <w:footnoteReference w:id="32"/>
      </w:r>
      <w:r w:rsidRPr="00635592">
        <w:rPr>
          <w:rFonts w:ascii="Myriad Pro" w:hAnsi="Myriad Pro"/>
          <w:bCs/>
          <w:sz w:val="24"/>
          <w:szCs w:val="24"/>
          <w:lang w:val="es-ES"/>
        </w:rPr>
        <w:t>. Solo en el segundo caso el colaborador puede apelar al princ</w:t>
      </w:r>
      <w:r w:rsidRPr="00635592">
        <w:rPr>
          <w:rFonts w:ascii="Myriad Pro" w:hAnsi="Myriad Pro"/>
          <w:bCs/>
          <w:sz w:val="24"/>
          <w:szCs w:val="24"/>
          <w:lang w:val="es-ES"/>
        </w:rPr>
        <w:t>i</w:t>
      </w:r>
      <w:r w:rsidRPr="00635592">
        <w:rPr>
          <w:rFonts w:ascii="Myriad Pro" w:hAnsi="Myriad Pro"/>
          <w:bCs/>
          <w:sz w:val="24"/>
          <w:szCs w:val="24"/>
          <w:lang w:val="es-ES"/>
        </w:rPr>
        <w:t>pio de confianza, ya que toda persona puede confiar por regla general en que no serán cometidas conductas típicas de forma dolosa. Sin embargo, dicha confianza no puede ser sin más apelada cuando el contribuidor se ha empeñado en apoyar a un autor reconociblemente dispuesto a realizar el hecho (</w:t>
      </w:r>
      <w:r w:rsidRPr="00635592">
        <w:rPr>
          <w:rFonts w:ascii="Myriad Pro" w:hAnsi="Myriad Pro"/>
          <w:sz w:val="24"/>
          <w:szCs w:val="24"/>
        </w:rPr>
        <w:t>previamente en Roxin, 1989, p. 177 y ss.; 1993, § 27, N. 21).</w:t>
      </w:r>
    </w:p>
    <w:p w14:paraId="69F27960" w14:textId="77777777" w:rsidR="00635592" w:rsidRPr="00635592" w:rsidRDefault="00635592" w:rsidP="00635592">
      <w:pPr>
        <w:spacing w:before="200"/>
        <w:jc w:val="both"/>
        <w:rPr>
          <w:rFonts w:ascii="Myriad Pro" w:hAnsi="Myriad Pro"/>
          <w:bCs/>
          <w:sz w:val="24"/>
          <w:szCs w:val="24"/>
          <w:lang w:val="es-ES"/>
        </w:rPr>
      </w:pPr>
      <w:r w:rsidRPr="00635592">
        <w:rPr>
          <w:rFonts w:ascii="Myriad Pro" w:hAnsi="Myriad Pro"/>
          <w:bCs/>
          <w:sz w:val="24"/>
          <w:szCs w:val="24"/>
          <w:lang w:val="es-ES"/>
        </w:rPr>
        <w:tab/>
        <w:t>La parte objetiva de la teoría, referida a una determinada cualidad de la a</w:t>
      </w:r>
      <w:r w:rsidRPr="00635592">
        <w:rPr>
          <w:rFonts w:ascii="Myriad Pro" w:hAnsi="Myriad Pro"/>
          <w:bCs/>
          <w:sz w:val="24"/>
          <w:szCs w:val="24"/>
          <w:lang w:val="es-ES"/>
        </w:rPr>
        <w:t>c</w:t>
      </w:r>
      <w:r w:rsidRPr="00635592">
        <w:rPr>
          <w:rFonts w:ascii="Myriad Pro" w:hAnsi="Myriad Pro"/>
          <w:bCs/>
          <w:sz w:val="24"/>
          <w:szCs w:val="24"/>
          <w:lang w:val="es-ES"/>
        </w:rPr>
        <w:t>ción, entregaría un criterio limitativo para el tipo objetivo. Si bien existen un gran número de opiniones con un fundamento similar, Roxin reclama la autoría del crit</w:t>
      </w:r>
      <w:r w:rsidRPr="00635592">
        <w:rPr>
          <w:rFonts w:ascii="Myriad Pro" w:hAnsi="Myriad Pro"/>
          <w:bCs/>
          <w:sz w:val="24"/>
          <w:szCs w:val="24"/>
          <w:lang w:val="es-ES"/>
        </w:rPr>
        <w:t>e</w:t>
      </w:r>
      <w:r w:rsidRPr="00635592">
        <w:rPr>
          <w:rFonts w:ascii="Myriad Pro" w:hAnsi="Myriad Pro"/>
          <w:bCs/>
          <w:sz w:val="24"/>
          <w:szCs w:val="24"/>
          <w:lang w:val="es-ES"/>
        </w:rPr>
        <w:t>rio bajo el nombre de la “relación de sentido delictivo” –</w:t>
      </w:r>
      <w:r w:rsidRPr="00635592">
        <w:rPr>
          <w:rFonts w:ascii="Myriad Pro" w:hAnsi="Myriad Pro"/>
          <w:sz w:val="24"/>
          <w:szCs w:val="24"/>
          <w:lang w:val="es-ES"/>
        </w:rPr>
        <w:t>Kindhäuser (2007a, p. 358) califica a este criterio como una paráfrasis sin contenido, dado que ella no tiene un significado distinto a que una acción de complicidad debe ser una colaboración para un hecho típico y antijurídico–</w:t>
      </w:r>
      <w:r w:rsidRPr="00635592">
        <w:rPr>
          <w:rFonts w:ascii="Myriad Pro" w:hAnsi="Myriad Pro"/>
          <w:bCs/>
          <w:sz w:val="24"/>
          <w:szCs w:val="24"/>
          <w:lang w:val="es-ES"/>
        </w:rPr>
        <w:t>, el cual lo explica por medio de una casuística, afi</w:t>
      </w:r>
      <w:r w:rsidRPr="00635592">
        <w:rPr>
          <w:rFonts w:ascii="Myriad Pro" w:hAnsi="Myriad Pro"/>
          <w:bCs/>
          <w:sz w:val="24"/>
          <w:szCs w:val="24"/>
          <w:lang w:val="es-ES"/>
        </w:rPr>
        <w:t>r</w:t>
      </w:r>
      <w:r w:rsidRPr="00635592">
        <w:rPr>
          <w:rFonts w:ascii="Myriad Pro" w:hAnsi="Myriad Pro"/>
          <w:bCs/>
          <w:sz w:val="24"/>
          <w:szCs w:val="24"/>
          <w:lang w:val="es-ES"/>
        </w:rPr>
        <w:lastRenderedPageBreak/>
        <w:t>mando que el límite de la punibilidad radica en la falta del sentido delictivo del acto. Una relación de sentido delictivo faltaría:</w:t>
      </w:r>
    </w:p>
    <w:p w14:paraId="162752E9" w14:textId="77777777" w:rsidR="00635592" w:rsidRPr="00635592" w:rsidRDefault="00635592" w:rsidP="009F33BF">
      <w:pPr>
        <w:spacing w:before="200" w:line="240" w:lineRule="auto"/>
        <w:ind w:left="1134"/>
        <w:jc w:val="both"/>
        <w:rPr>
          <w:rFonts w:ascii="Myriad Pro" w:hAnsi="Myriad Pro"/>
          <w:sz w:val="24"/>
          <w:szCs w:val="24"/>
          <w:lang w:val="es-ES"/>
        </w:rPr>
      </w:pPr>
      <w:r w:rsidRPr="00635592">
        <w:rPr>
          <w:rFonts w:ascii="Myriad Pro" w:hAnsi="Myriad Pro"/>
          <w:sz w:val="24"/>
          <w:szCs w:val="24"/>
          <w:lang w:val="es-ES"/>
        </w:rPr>
        <w:t>…</w:t>
      </w:r>
      <w:r w:rsidRPr="00635592">
        <w:rPr>
          <w:rFonts w:ascii="Myriad Pro" w:hAnsi="Myriad Pro"/>
          <w:sz w:val="24"/>
          <w:szCs w:val="24"/>
        </w:rPr>
        <w:t>wenn sich der fördernde Beitrag auf eine legale Handlung bezieht, die schon für sich allein genommen für den Täter sinnvoll und nützlich ist, die dieser aber außerdem zur Voraussetzung für ein davon unabhängiges, auf einem selbstständigen Entschluß beruhendes Deliktsverhalten macht. (Roxin, 2003, p. 208)</w:t>
      </w:r>
      <w:r w:rsidRPr="00635592">
        <w:rPr>
          <w:rFonts w:ascii="Myriad Pro" w:hAnsi="Myriad Pro"/>
          <w:sz w:val="24"/>
          <w:szCs w:val="24"/>
          <w:lang w:val="es-ES"/>
        </w:rPr>
        <w:t>.</w:t>
      </w:r>
      <w:r w:rsidRPr="00635592">
        <w:rPr>
          <w:rStyle w:val="Ancladenotaalpie"/>
          <w:rFonts w:ascii="Myriad Pro" w:hAnsi="Myriad Pro"/>
          <w:sz w:val="24"/>
          <w:szCs w:val="24"/>
          <w:lang w:val="es-ES"/>
        </w:rPr>
        <w:footnoteReference w:id="33"/>
      </w:r>
      <w:r w:rsidRPr="00635592">
        <w:rPr>
          <w:rFonts w:ascii="Myriad Pro" w:hAnsi="Myriad Pro"/>
          <w:sz w:val="24"/>
          <w:szCs w:val="24"/>
          <w:lang w:val="es-ES"/>
        </w:rPr>
        <w:t xml:space="preserve"> </w:t>
      </w:r>
    </w:p>
    <w:p w14:paraId="7DA471DC" w14:textId="77777777" w:rsidR="00635592" w:rsidRPr="00635592" w:rsidRDefault="00635592" w:rsidP="00635592">
      <w:pPr>
        <w:pStyle w:val="Textonotapie"/>
        <w:spacing w:line="276" w:lineRule="auto"/>
        <w:contextualSpacing/>
        <w:jc w:val="both"/>
        <w:rPr>
          <w:rFonts w:ascii="Myriad Pro" w:hAnsi="Myriad Pro"/>
          <w:sz w:val="24"/>
          <w:szCs w:val="24"/>
          <w:lang w:val="es-ES"/>
        </w:rPr>
      </w:pPr>
      <w:r w:rsidRPr="00635592">
        <w:rPr>
          <w:rFonts w:ascii="Myriad Pro" w:hAnsi="Myriad Pro"/>
          <w:sz w:val="24"/>
          <w:szCs w:val="24"/>
          <w:lang w:val="es-ES"/>
        </w:rPr>
        <w:tab/>
        <w:t xml:space="preserve">Roxin (2003) vincula esta última reflexión con la desarrollada por el BGH bajo el concepto de </w:t>
      </w:r>
      <w:r w:rsidRPr="00635592">
        <w:rPr>
          <w:rFonts w:ascii="Myriad Pro" w:hAnsi="Myriad Pro"/>
          <w:i/>
          <w:sz w:val="24"/>
          <w:szCs w:val="24"/>
          <w:lang w:val="es-ES"/>
        </w:rPr>
        <w:t>disposición reconocible al hecho</w:t>
      </w:r>
      <w:r w:rsidRPr="00635592">
        <w:rPr>
          <w:rFonts w:ascii="Myriad Pro" w:hAnsi="Myriad Pro"/>
          <w:sz w:val="24"/>
          <w:szCs w:val="24"/>
          <w:lang w:val="es-ES"/>
        </w:rPr>
        <w:t>. Sin embargo, no resulta complet</w:t>
      </w:r>
      <w:r w:rsidRPr="00635592">
        <w:rPr>
          <w:rFonts w:ascii="Myriad Pro" w:hAnsi="Myriad Pro"/>
          <w:sz w:val="24"/>
          <w:szCs w:val="24"/>
          <w:lang w:val="es-ES"/>
        </w:rPr>
        <w:t>a</w:t>
      </w:r>
      <w:r w:rsidRPr="00635592">
        <w:rPr>
          <w:rFonts w:ascii="Myriad Pro" w:hAnsi="Myriad Pro"/>
          <w:sz w:val="24"/>
          <w:szCs w:val="24"/>
          <w:lang w:val="es-ES"/>
        </w:rPr>
        <w:t>mente claro si el BGH utiliza dicho concepto en un sentido objetivo o subjetivo</w:t>
      </w:r>
      <w:r w:rsidRPr="00635592">
        <w:rPr>
          <w:rStyle w:val="Ancladenotaalpie"/>
          <w:rFonts w:ascii="Myriad Pro" w:hAnsi="Myriad Pro"/>
          <w:sz w:val="24"/>
          <w:szCs w:val="24"/>
        </w:rPr>
        <w:footnoteReference w:id="34"/>
      </w:r>
      <w:r w:rsidRPr="00635592">
        <w:rPr>
          <w:rFonts w:ascii="Myriad Pro" w:hAnsi="Myriad Pro"/>
          <w:sz w:val="24"/>
          <w:szCs w:val="24"/>
          <w:lang w:val="es-ES"/>
        </w:rPr>
        <w:t>, s</w:t>
      </w:r>
      <w:r w:rsidRPr="00635592">
        <w:rPr>
          <w:rFonts w:ascii="Myriad Pro" w:hAnsi="Myriad Pro" w:cs="Times New Roman"/>
          <w:sz w:val="24"/>
          <w:szCs w:val="24"/>
          <w:lang w:val="es-ES"/>
        </w:rPr>
        <w:t>i bien el BGH parece tratar a este criterio desde una perspectiva subjetiva, Greco (2015) sostiene lo contrario.</w:t>
      </w:r>
      <w:r w:rsidRPr="00635592">
        <w:rPr>
          <w:rFonts w:ascii="Myriad Pro" w:hAnsi="Myriad Pro"/>
          <w:sz w:val="24"/>
          <w:szCs w:val="24"/>
          <w:lang w:val="es-ES"/>
        </w:rPr>
        <w:t xml:space="preserve"> La actualidad y adecuación de la teoría desarrollada por Roxin (2003), es defendida por Schünemann (2007, Nm. 17 y ss.) en la duodécima edición del Leipziger Kommentar.</w:t>
      </w:r>
    </w:p>
    <w:p w14:paraId="28B0EE1F" w14:textId="4611D9D3" w:rsidR="00635592" w:rsidRPr="00635592" w:rsidRDefault="00635592" w:rsidP="00635592">
      <w:pPr>
        <w:spacing w:before="200"/>
        <w:jc w:val="both"/>
        <w:rPr>
          <w:rFonts w:ascii="Myriad Pro" w:hAnsi="Myriad Pro"/>
          <w:sz w:val="24"/>
          <w:szCs w:val="24"/>
          <w:lang w:val="es-ES"/>
        </w:rPr>
      </w:pPr>
      <w:r w:rsidRPr="00635592">
        <w:rPr>
          <w:rFonts w:ascii="Myriad Pro" w:hAnsi="Myriad Pro"/>
          <w:sz w:val="24"/>
          <w:szCs w:val="24"/>
          <w:lang w:val="es-ES"/>
        </w:rPr>
        <w:tab/>
        <w:t>Otros autores, utilizan formulaciones cercanas. Por ejemplo, de acuerdo con Meyer-Arndt (1989, p. 287), solo pueden venir en consideración a título de complic</w:t>
      </w:r>
      <w:r w:rsidRPr="00635592">
        <w:rPr>
          <w:rFonts w:ascii="Myriad Pro" w:hAnsi="Myriad Pro"/>
          <w:sz w:val="24"/>
          <w:szCs w:val="24"/>
          <w:lang w:val="es-ES"/>
        </w:rPr>
        <w:t>i</w:t>
      </w:r>
      <w:r w:rsidRPr="00635592">
        <w:rPr>
          <w:rFonts w:ascii="Myriad Pro" w:hAnsi="Myriad Pro"/>
          <w:sz w:val="24"/>
          <w:szCs w:val="24"/>
          <w:lang w:val="es-ES"/>
        </w:rPr>
        <w:t>dad en el sentido del StGB (1871, § 27) actos de promoción que sean específicos para el hecho delictivo. Por lo mismo, quedarían fuera de dicha categoría los comport</w:t>
      </w:r>
      <w:r w:rsidRPr="00635592">
        <w:rPr>
          <w:rFonts w:ascii="Myriad Pro" w:hAnsi="Myriad Pro"/>
          <w:sz w:val="24"/>
          <w:szCs w:val="24"/>
          <w:lang w:val="es-ES"/>
        </w:rPr>
        <w:t>a</w:t>
      </w:r>
      <w:r w:rsidRPr="00635592">
        <w:rPr>
          <w:rFonts w:ascii="Myriad Pro" w:hAnsi="Myriad Pro"/>
          <w:sz w:val="24"/>
          <w:szCs w:val="24"/>
          <w:lang w:val="es-ES"/>
        </w:rPr>
        <w:t>mientos neutrales o lícitos. Ransiek (1997, p. 46), por su parte, propone excluir de la punibilidad a título de complicidad a aquellas contribuciones a un hecho que, al mismo tiempo, también sirven a un propósito legal. Wohlers (2000, p. 171 y ss.) de</w:t>
      </w:r>
      <w:r w:rsidRPr="00635592">
        <w:rPr>
          <w:rFonts w:ascii="Myriad Pro" w:hAnsi="Myriad Pro"/>
          <w:sz w:val="24"/>
          <w:szCs w:val="24"/>
          <w:lang w:val="es-ES"/>
        </w:rPr>
        <w:t>s</w:t>
      </w:r>
      <w:r w:rsidRPr="00635592">
        <w:rPr>
          <w:rFonts w:ascii="Myriad Pro" w:hAnsi="Myriad Pro"/>
          <w:sz w:val="24"/>
          <w:szCs w:val="24"/>
          <w:lang w:val="es-ES"/>
        </w:rPr>
        <w:t xml:space="preserve">cribe el desarrollo de un criterio similar por parte del </w:t>
      </w:r>
      <w:r w:rsidRPr="00635592">
        <w:rPr>
          <w:rFonts w:ascii="Myriad Pro" w:hAnsi="Myriad Pro"/>
          <w:sz w:val="24"/>
          <w:szCs w:val="24"/>
        </w:rPr>
        <w:t xml:space="preserve">Schweiz BGE, en las sentencias </w:t>
      </w:r>
      <w:r w:rsidRPr="00635592">
        <w:rPr>
          <w:rFonts w:ascii="Myriad Pro" w:hAnsi="Myriad Pro"/>
          <w:i/>
          <w:sz w:val="24"/>
          <w:szCs w:val="24"/>
        </w:rPr>
        <w:t>Generaldirektion PTT gegen J.</w:t>
      </w:r>
      <w:r w:rsidRPr="00635592">
        <w:rPr>
          <w:rFonts w:ascii="Myriad Pro" w:hAnsi="Myriad Pro"/>
          <w:sz w:val="24"/>
          <w:szCs w:val="24"/>
        </w:rPr>
        <w:t xml:space="preserve"> (1985, p. 32); </w:t>
      </w:r>
      <w:r w:rsidRPr="00635592">
        <w:rPr>
          <w:rFonts w:ascii="Myriad Pro" w:hAnsi="Myriad Pro"/>
          <w:i/>
          <w:sz w:val="24"/>
          <w:szCs w:val="24"/>
        </w:rPr>
        <w:t xml:space="preserve"> X. gegen Schweizerische Pay-Sat AG, </w:t>
      </w:r>
      <w:r w:rsidRPr="00635592">
        <w:rPr>
          <w:rFonts w:ascii="Myriad Pro" w:hAnsi="Myriad Pro"/>
          <w:sz w:val="24"/>
          <w:szCs w:val="24"/>
        </w:rPr>
        <w:t xml:space="preserve">(1988, p. 112). </w:t>
      </w:r>
      <w:r w:rsidRPr="00635592">
        <w:rPr>
          <w:rFonts w:ascii="Myriad Pro" w:hAnsi="Myriad Pro"/>
          <w:sz w:val="24"/>
          <w:szCs w:val="24"/>
          <w:lang w:val="es-ES"/>
        </w:rPr>
        <w:t>Con posterioridad a una primera fase subjetiva, el Schweiz BGE desarrolló un criterio objetivo en el denominado “caso de la carne de antílope” (</w:t>
      </w:r>
      <w:r w:rsidRPr="00635592">
        <w:rPr>
          <w:rFonts w:ascii="Myriad Pro" w:hAnsi="Myriad Pro" w:cs="Arial"/>
          <w:i/>
          <w:color w:val="000000"/>
          <w:sz w:val="24"/>
          <w:szCs w:val="24"/>
        </w:rPr>
        <w:t>B. und S. gegen Staatsanwaltschaft des Kantons Basel-Stadt,</w:t>
      </w:r>
      <w:r w:rsidRPr="00635592">
        <w:rPr>
          <w:rFonts w:ascii="Myriad Pro" w:hAnsi="Myriad Pro" w:cs="Arial"/>
          <w:color w:val="000000"/>
          <w:sz w:val="24"/>
          <w:szCs w:val="24"/>
        </w:rPr>
        <w:t xml:space="preserve"> 1993, p. 289)</w:t>
      </w:r>
      <w:r w:rsidRPr="00635592">
        <w:rPr>
          <w:rFonts w:ascii="Myriad Pro" w:hAnsi="Myriad Pro"/>
          <w:sz w:val="24"/>
          <w:szCs w:val="24"/>
          <w:lang w:val="es-ES"/>
        </w:rPr>
        <w:t xml:space="preserve"> bajo la siguiente formul</w:t>
      </w:r>
      <w:r w:rsidRPr="00635592">
        <w:rPr>
          <w:rFonts w:ascii="Myriad Pro" w:hAnsi="Myriad Pro"/>
          <w:sz w:val="24"/>
          <w:szCs w:val="24"/>
          <w:lang w:val="es-ES"/>
        </w:rPr>
        <w:t>a</w:t>
      </w:r>
      <w:r w:rsidRPr="00635592">
        <w:rPr>
          <w:rFonts w:ascii="Myriad Pro" w:hAnsi="Myriad Pro"/>
          <w:sz w:val="24"/>
          <w:szCs w:val="24"/>
          <w:lang w:val="es-ES"/>
        </w:rPr>
        <w:t>ción: ¿queda la prestación desprovista de sentido sin la acción delictiva posterior</w:t>
      </w:r>
      <w:proofErr w:type="gramStart"/>
      <w:r w:rsidRPr="00635592">
        <w:rPr>
          <w:rFonts w:ascii="Myriad Pro" w:hAnsi="Myriad Pro"/>
          <w:sz w:val="24"/>
          <w:szCs w:val="24"/>
          <w:lang w:val="es-ES"/>
        </w:rPr>
        <w:t>?.</w:t>
      </w:r>
      <w:proofErr w:type="gramEnd"/>
      <w:r w:rsidRPr="00635592">
        <w:rPr>
          <w:rFonts w:ascii="Myriad Pro" w:hAnsi="Myriad Pro"/>
          <w:sz w:val="24"/>
          <w:szCs w:val="24"/>
          <w:lang w:val="es-ES"/>
        </w:rPr>
        <w:t xml:space="preserve"> En ese caso la prestación de ayuda prácticamente solo puede ser utilizada de forma il</w:t>
      </w:r>
      <w:r w:rsidRPr="00635592">
        <w:rPr>
          <w:rFonts w:ascii="Myriad Pro" w:hAnsi="Myriad Pro"/>
          <w:sz w:val="24"/>
          <w:szCs w:val="24"/>
          <w:lang w:val="es-ES"/>
        </w:rPr>
        <w:t>e</w:t>
      </w:r>
      <w:r w:rsidRPr="00635592">
        <w:rPr>
          <w:rFonts w:ascii="Myriad Pro" w:hAnsi="Myriad Pro"/>
          <w:sz w:val="24"/>
          <w:szCs w:val="24"/>
          <w:lang w:val="es-ES"/>
        </w:rPr>
        <w:t xml:space="preserve">gal, de modo que la relación de sentido delictiva </w:t>
      </w:r>
      <w:r w:rsidRPr="00635592">
        <w:rPr>
          <w:rFonts w:ascii="Myriad Pro" w:hAnsi="Myriad Pro"/>
          <w:sz w:val="24"/>
          <w:szCs w:val="24"/>
          <w:lang w:val="es-ES_tradnl"/>
        </w:rPr>
        <w:t>—</w:t>
      </w:r>
      <w:r w:rsidRPr="00635592">
        <w:rPr>
          <w:rFonts w:ascii="Myriad Pro" w:hAnsi="Myriad Pro"/>
          <w:sz w:val="24"/>
          <w:szCs w:val="24"/>
          <w:lang w:val="es-ES"/>
        </w:rPr>
        <w:t>y con ello la complicidad pun</w:t>
      </w:r>
      <w:r w:rsidRPr="00635592">
        <w:rPr>
          <w:rFonts w:ascii="Myriad Pro" w:hAnsi="Myriad Pro"/>
          <w:sz w:val="24"/>
          <w:szCs w:val="24"/>
          <w:lang w:val="es-ES"/>
        </w:rPr>
        <w:t>i</w:t>
      </w:r>
      <w:r w:rsidRPr="00635592">
        <w:rPr>
          <w:rFonts w:ascii="Myriad Pro" w:hAnsi="Myriad Pro"/>
          <w:sz w:val="24"/>
          <w:szCs w:val="24"/>
          <w:lang w:val="es-ES"/>
        </w:rPr>
        <w:t>ble</w:t>
      </w:r>
      <w:r w:rsidRPr="00635592">
        <w:rPr>
          <w:rFonts w:ascii="Myriad Pro" w:hAnsi="Myriad Pro"/>
          <w:sz w:val="24"/>
          <w:szCs w:val="24"/>
          <w:lang w:val="es-ES_tradnl"/>
        </w:rPr>
        <w:t>—</w:t>
      </w:r>
      <w:r w:rsidRPr="00635592">
        <w:rPr>
          <w:rFonts w:ascii="Myriad Pro" w:hAnsi="Myriad Pro"/>
          <w:sz w:val="24"/>
          <w:szCs w:val="24"/>
          <w:lang w:val="es-ES"/>
        </w:rPr>
        <w:t xml:space="preserve"> debe ser afirmada. Roxin (2003, p. 217) reconoce aquí también, por cierto, la aplicación de su criterio.</w:t>
      </w:r>
    </w:p>
    <w:p w14:paraId="26ABF600" w14:textId="77777777" w:rsidR="00635592" w:rsidRPr="00635592" w:rsidRDefault="00635592" w:rsidP="00635592">
      <w:pPr>
        <w:pStyle w:val="Textonotapie"/>
        <w:spacing w:before="200" w:after="200" w:line="276" w:lineRule="auto"/>
        <w:contextualSpacing/>
        <w:jc w:val="both"/>
        <w:rPr>
          <w:rFonts w:ascii="Myriad Pro" w:hAnsi="Myriad Pro"/>
          <w:sz w:val="24"/>
          <w:szCs w:val="24"/>
        </w:rPr>
      </w:pPr>
      <w:r w:rsidRPr="00635592">
        <w:rPr>
          <w:rFonts w:ascii="Myriad Pro" w:hAnsi="Myriad Pro"/>
          <w:sz w:val="24"/>
          <w:szCs w:val="24"/>
          <w:lang w:val="es-ES"/>
        </w:rPr>
        <w:tab/>
        <w:t>Esta teoría enfrenta varias objeciones. Una parte del problema de la teoría radica en su contradictoria construcción y, especialmente, en la identificación del fundamento penal de la complicidad como un ataque independiente del partícipe al bien jurídico. La teoría, pretende pacificar la contradicción existente entre las pr</w:t>
      </w:r>
      <w:r w:rsidRPr="00635592">
        <w:rPr>
          <w:rFonts w:ascii="Myriad Pro" w:hAnsi="Myriad Pro"/>
          <w:sz w:val="24"/>
          <w:szCs w:val="24"/>
          <w:lang w:val="es-ES"/>
        </w:rPr>
        <w:t>o</w:t>
      </w:r>
      <w:r w:rsidRPr="00635592">
        <w:rPr>
          <w:rFonts w:ascii="Myriad Pro" w:hAnsi="Myriad Pro"/>
          <w:sz w:val="24"/>
          <w:szCs w:val="24"/>
          <w:lang w:val="es-ES"/>
        </w:rPr>
        <w:t xml:space="preserve">puestas objetivas y subjetivas por medio de la apelación a un injusto autónomo y al </w:t>
      </w:r>
      <w:r w:rsidRPr="00635592">
        <w:rPr>
          <w:rFonts w:ascii="Myriad Pro" w:hAnsi="Myriad Pro"/>
          <w:sz w:val="24"/>
          <w:szCs w:val="24"/>
          <w:lang w:val="es-ES"/>
        </w:rPr>
        <w:lastRenderedPageBreak/>
        <w:t>mismo tiempo accesorio del partícipe, presentando una construcción difícilmente aceptable. El propósito unificador de la teoría sería alcanzado por medio de una d</w:t>
      </w:r>
      <w:r w:rsidRPr="00635592">
        <w:rPr>
          <w:rFonts w:ascii="Myriad Pro" w:hAnsi="Myriad Pro"/>
          <w:sz w:val="24"/>
          <w:szCs w:val="24"/>
          <w:lang w:val="es-ES"/>
        </w:rPr>
        <w:t>e</w:t>
      </w:r>
      <w:r w:rsidRPr="00635592">
        <w:rPr>
          <w:rFonts w:ascii="Myriad Pro" w:hAnsi="Myriad Pro"/>
          <w:sz w:val="24"/>
          <w:szCs w:val="24"/>
          <w:lang w:val="es-ES"/>
        </w:rPr>
        <w:t>terminada comprensión de la teoría de la imputación objetiva, que se encuentra abierta a los conocimientos especiales del autor como límite al requisito general de que la actuación sea constitutiva de la creación o incremento de un riesgo no perm</w:t>
      </w:r>
      <w:r w:rsidRPr="00635592">
        <w:rPr>
          <w:rFonts w:ascii="Myriad Pro" w:hAnsi="Myriad Pro"/>
          <w:sz w:val="24"/>
          <w:szCs w:val="24"/>
          <w:lang w:val="es-ES"/>
        </w:rPr>
        <w:t>i</w:t>
      </w:r>
      <w:r w:rsidRPr="00635592">
        <w:rPr>
          <w:rFonts w:ascii="Myriad Pro" w:hAnsi="Myriad Pro"/>
          <w:sz w:val="24"/>
          <w:szCs w:val="24"/>
          <w:lang w:val="es-ES"/>
        </w:rPr>
        <w:t>tido, radicando el carácter no permitido de la conducta del cómplice en el conoc</w:t>
      </w:r>
      <w:r w:rsidRPr="00635592">
        <w:rPr>
          <w:rFonts w:ascii="Myriad Pro" w:hAnsi="Myriad Pro"/>
          <w:sz w:val="24"/>
          <w:szCs w:val="24"/>
          <w:lang w:val="es-ES"/>
        </w:rPr>
        <w:t>i</w:t>
      </w:r>
      <w:r w:rsidRPr="00635592">
        <w:rPr>
          <w:rFonts w:ascii="Myriad Pro" w:hAnsi="Myriad Pro"/>
          <w:sz w:val="24"/>
          <w:szCs w:val="24"/>
          <w:lang w:val="es-ES"/>
        </w:rPr>
        <w:t>miento que tiene de los planes del autor (Roxin, 1993b, Nm. 22). Sin embargo, dicha integración no está exenta de dificultades teóricas. ¿Cómo puede ser conciliado este criterio subjetivo (¿prioritario?) con las reglas de la imputación objetiva? Greco (2015, p. 3) –</w:t>
      </w:r>
      <w:r w:rsidRPr="00635592">
        <w:rPr>
          <w:rFonts w:ascii="Myriad Pro" w:hAnsi="Myriad Pro"/>
          <w:sz w:val="24"/>
          <w:szCs w:val="24"/>
        </w:rPr>
        <w:t>previamente Wohlleben (1996, p. 120 y ss.) tomó el mismo camino</w:t>
      </w:r>
      <w:r w:rsidRPr="00635592">
        <w:rPr>
          <w:rFonts w:ascii="Myriad Pro" w:hAnsi="Myriad Pro"/>
          <w:sz w:val="24"/>
          <w:szCs w:val="24"/>
          <w:lang w:val="es-ES"/>
        </w:rPr>
        <w:t>– es con</w:t>
      </w:r>
      <w:r w:rsidRPr="00635592">
        <w:rPr>
          <w:rFonts w:ascii="Myriad Pro" w:hAnsi="Myriad Pro"/>
          <w:sz w:val="24"/>
          <w:szCs w:val="24"/>
          <w:lang w:val="es-ES"/>
        </w:rPr>
        <w:t>s</w:t>
      </w:r>
      <w:r w:rsidRPr="00635592">
        <w:rPr>
          <w:rFonts w:ascii="Myriad Pro" w:hAnsi="Myriad Pro"/>
          <w:sz w:val="24"/>
          <w:szCs w:val="24"/>
          <w:lang w:val="es-ES"/>
        </w:rPr>
        <w:t>ciente de este problema de consistencia y lo vincula al tratamiento de los denomin</w:t>
      </w:r>
      <w:r w:rsidRPr="00635592">
        <w:rPr>
          <w:rFonts w:ascii="Myriad Pro" w:hAnsi="Myriad Pro"/>
          <w:sz w:val="24"/>
          <w:szCs w:val="24"/>
          <w:lang w:val="es-ES"/>
        </w:rPr>
        <w:t>a</w:t>
      </w:r>
      <w:r w:rsidRPr="00635592">
        <w:rPr>
          <w:rFonts w:ascii="Myriad Pro" w:hAnsi="Myriad Pro"/>
          <w:sz w:val="24"/>
          <w:szCs w:val="24"/>
          <w:lang w:val="es-ES"/>
        </w:rPr>
        <w:t>dos conocimientos especiales dentro de la imputación objetiva, como un intento de búsqueda de una correcta ubicación sistemática para la solución teórica. El traslado del principio de confianza desde la imprudencia al dolo eventual, no convence (Kudlich, 2004, p. 123). Pese a que resulta bastante claro que el principio de confianza constituye un límite a los deberes de cuidado, el traslado del límite se sustenta en una (incorrecta) comprensión de la imprudencia, y el dolo como una estructura de imputación continua diferenciada (cuantitativamente) por el grado de conocimiento o el grado de certeza atribuido al pronóstico lesivo, en las cuales la infracción de d</w:t>
      </w:r>
      <w:r w:rsidRPr="00635592">
        <w:rPr>
          <w:rFonts w:ascii="Myriad Pro" w:hAnsi="Myriad Pro"/>
          <w:sz w:val="24"/>
          <w:szCs w:val="24"/>
          <w:lang w:val="es-ES"/>
        </w:rPr>
        <w:t>e</w:t>
      </w:r>
      <w:r w:rsidRPr="00635592">
        <w:rPr>
          <w:rFonts w:ascii="Myriad Pro" w:hAnsi="Myriad Pro"/>
          <w:sz w:val="24"/>
          <w:szCs w:val="24"/>
          <w:lang w:val="es-ES"/>
        </w:rPr>
        <w:t>beres de cuidado o la realización de un riesgo no permitido juega un rol constitutivo para ambas. Cuando dicho paralelismo es rechazado, entonces la propuesta teórica se presenta como inadecuada, f</w:t>
      </w:r>
      <w:r w:rsidRPr="00635592">
        <w:rPr>
          <w:rFonts w:ascii="Myriad Pro" w:hAnsi="Myriad Pro"/>
          <w:sz w:val="24"/>
          <w:szCs w:val="24"/>
        </w:rPr>
        <w:t>undamental a este respecto Kindhäuser (2010, p. 403 y ss.).</w:t>
      </w:r>
    </w:p>
    <w:p w14:paraId="2E093691" w14:textId="77777777" w:rsidR="00635592" w:rsidRDefault="00635592" w:rsidP="008B1EED">
      <w:pPr>
        <w:spacing w:after="0" w:line="240" w:lineRule="auto"/>
        <w:jc w:val="both"/>
        <w:rPr>
          <w:rFonts w:ascii="Myriad Pro" w:hAnsi="Myriad Pro"/>
          <w:sz w:val="24"/>
          <w:szCs w:val="24"/>
          <w:lang w:val="es-ES"/>
        </w:rPr>
      </w:pPr>
      <w:r w:rsidRPr="00635592">
        <w:rPr>
          <w:rFonts w:ascii="Myriad Pro" w:hAnsi="Myriad Pro"/>
          <w:sz w:val="24"/>
          <w:szCs w:val="24"/>
          <w:lang w:val="es-ES"/>
        </w:rPr>
        <w:tab/>
        <w:t>Adicionalmente, el alcance y utilidad del criterio es dudoso. Como notó Amelung (1993, p. 13) y c</w:t>
      </w:r>
      <w:r w:rsidRPr="00635592">
        <w:rPr>
          <w:rFonts w:ascii="Myriad Pro" w:hAnsi="Myriad Pro"/>
          <w:sz w:val="24"/>
          <w:szCs w:val="24"/>
        </w:rPr>
        <w:t xml:space="preserve">oncuerdan, Wohlers (2000, p. </w:t>
      </w:r>
      <w:r w:rsidRPr="00635592">
        <w:rPr>
          <w:rFonts w:ascii="Myriad Pro" w:hAnsi="Myriad Pro"/>
          <w:bCs/>
          <w:sz w:val="24"/>
          <w:szCs w:val="24"/>
        </w:rPr>
        <w:t>172)</w:t>
      </w:r>
      <w:r w:rsidRPr="00635592">
        <w:rPr>
          <w:rFonts w:ascii="Myriad Pro" w:hAnsi="Myriad Pro"/>
          <w:sz w:val="24"/>
          <w:szCs w:val="24"/>
        </w:rPr>
        <w:t>; Beckemper (2001, p. 167); y Otto (1998, p. 207</w:t>
      </w:r>
      <w:r w:rsidRPr="00635592">
        <w:rPr>
          <w:rFonts w:ascii="Myriad Pro" w:hAnsi="Myriad Pro"/>
          <w:sz w:val="24"/>
          <w:szCs w:val="24"/>
          <w:lang w:val="es-ES"/>
        </w:rPr>
        <w:t>), casi toda prestación que es entregada con anterioridad a la fase ejecutiva puede ser usada por el receptor con distintos fines, sean estos pun</w:t>
      </w:r>
      <w:r w:rsidRPr="00635592">
        <w:rPr>
          <w:rFonts w:ascii="Myriad Pro" w:hAnsi="Myriad Pro"/>
          <w:sz w:val="24"/>
          <w:szCs w:val="24"/>
          <w:lang w:val="es-ES"/>
        </w:rPr>
        <w:t>i</w:t>
      </w:r>
      <w:r w:rsidRPr="00635592">
        <w:rPr>
          <w:rFonts w:ascii="Myriad Pro" w:hAnsi="Myriad Pro"/>
          <w:sz w:val="24"/>
          <w:szCs w:val="24"/>
          <w:lang w:val="es-ES"/>
        </w:rPr>
        <w:t xml:space="preserve">bles o lícitos, </w:t>
      </w:r>
      <w:r w:rsidRPr="00635592">
        <w:rPr>
          <w:rFonts w:ascii="Myriad Pro" w:hAnsi="Myriad Pro"/>
          <w:sz w:val="24"/>
          <w:szCs w:val="24"/>
        </w:rPr>
        <w:t>un buen ejemplo en el mismo sentido lo entrega Amelung (1999): A</w:t>
      </w:r>
      <w:r w:rsidRPr="00635592">
        <w:rPr>
          <w:rFonts w:ascii="Myriad Pro" w:hAnsi="Myriad Pro"/>
          <w:sz w:val="24"/>
          <w:szCs w:val="24"/>
        </w:rPr>
        <w:t>l</w:t>
      </w:r>
      <w:r w:rsidRPr="00635592">
        <w:rPr>
          <w:rFonts w:ascii="Myriad Pro" w:hAnsi="Myriad Pro"/>
          <w:sz w:val="24"/>
          <w:szCs w:val="24"/>
        </w:rPr>
        <w:t xml:space="preserve">guien puede considerar su acción con sentido </w:t>
      </w:r>
      <w:r w:rsidRPr="00635592">
        <w:rPr>
          <w:rFonts w:ascii="Myriad Pro" w:hAnsi="Myriad Pro"/>
          <w:sz w:val="24"/>
          <w:szCs w:val="24"/>
          <w:lang w:val="es-ES"/>
        </w:rPr>
        <w:t xml:space="preserve">al prestarle un martillo a un amigo, de quien sabe que tiene la intención primero de golpear la cabeza de su señora y luego de clavar un clavo en la pared. ¿Significa esto que una prestación de ayuda puede tener una parte legal y otra ilegal? En Derecho penal la acción puede cargar con una sola cualificación. </w:t>
      </w:r>
    </w:p>
    <w:p w14:paraId="6FF0FD10" w14:textId="77777777" w:rsidR="008B1EED" w:rsidRPr="00635592" w:rsidRDefault="008B1EED" w:rsidP="008B1EED">
      <w:pPr>
        <w:spacing w:after="0" w:line="240" w:lineRule="auto"/>
        <w:jc w:val="both"/>
        <w:rPr>
          <w:rFonts w:ascii="Myriad Pro" w:hAnsi="Myriad Pro"/>
          <w:sz w:val="24"/>
          <w:szCs w:val="24"/>
          <w:lang w:val="es-ES"/>
        </w:rPr>
      </w:pPr>
    </w:p>
    <w:p w14:paraId="3F6261BA" w14:textId="302D9D29" w:rsidR="00635592" w:rsidRPr="008B1EED" w:rsidRDefault="00635592" w:rsidP="008B1EED">
      <w:pPr>
        <w:spacing w:after="0" w:line="240" w:lineRule="auto"/>
        <w:jc w:val="center"/>
        <w:rPr>
          <w:rFonts w:ascii="Myriad Pro" w:hAnsi="Myriad Pro"/>
          <w:b/>
          <w:sz w:val="24"/>
          <w:szCs w:val="24"/>
        </w:rPr>
      </w:pPr>
      <w:r w:rsidRPr="008B1EED">
        <w:rPr>
          <w:rFonts w:ascii="Myriad Pro" w:hAnsi="Myriad Pro"/>
          <w:b/>
          <w:sz w:val="24"/>
          <w:szCs w:val="24"/>
          <w:lang w:val="es-ES"/>
        </w:rPr>
        <w:t xml:space="preserve">1.3.2. </w:t>
      </w:r>
      <w:r w:rsidRPr="008B1EED">
        <w:rPr>
          <w:rFonts w:ascii="Myriad Pro" w:hAnsi="Myriad Pro"/>
          <w:b/>
          <w:sz w:val="24"/>
          <w:szCs w:val="24"/>
        </w:rPr>
        <w:t>El criterio de la jurisprudencia</w:t>
      </w:r>
    </w:p>
    <w:p w14:paraId="0B2954A3" w14:textId="77777777" w:rsidR="008B1EED" w:rsidRDefault="008B1EED" w:rsidP="008B1EED">
      <w:pPr>
        <w:widowControl w:val="0"/>
        <w:spacing w:after="0" w:line="240" w:lineRule="auto"/>
        <w:jc w:val="both"/>
        <w:rPr>
          <w:rFonts w:ascii="Myriad Pro" w:hAnsi="Myriad Pro"/>
          <w:sz w:val="24"/>
          <w:szCs w:val="24"/>
          <w:lang w:val="es-ES"/>
        </w:rPr>
      </w:pPr>
    </w:p>
    <w:p w14:paraId="77A7CD0D" w14:textId="7575A17F" w:rsidR="00635592" w:rsidRPr="00635592" w:rsidRDefault="0013750A" w:rsidP="00635592">
      <w:pPr>
        <w:widowControl w:val="0"/>
        <w:spacing w:before="200"/>
        <w:jc w:val="both"/>
        <w:rPr>
          <w:rFonts w:ascii="Garamond" w:hAnsi="Garamond"/>
          <w:sz w:val="24"/>
          <w:szCs w:val="24"/>
          <w:lang w:val="es-ES"/>
        </w:rPr>
      </w:pPr>
      <w:r>
        <w:rPr>
          <w:rFonts w:ascii="Myriad Pro" w:hAnsi="Myriad Pro"/>
          <w:sz w:val="24"/>
          <w:szCs w:val="24"/>
          <w:lang w:val="es-ES"/>
        </w:rPr>
        <w:tab/>
      </w:r>
      <w:r w:rsidR="00635592" w:rsidRPr="00635592">
        <w:rPr>
          <w:rFonts w:ascii="Myriad Pro" w:hAnsi="Myriad Pro"/>
          <w:sz w:val="24"/>
          <w:szCs w:val="24"/>
          <w:lang w:val="es-ES"/>
        </w:rPr>
        <w:t>La literatura se refiere en sus contribuciones a diferentes y numerosas sente</w:t>
      </w:r>
      <w:r w:rsidR="00635592" w:rsidRPr="00635592">
        <w:rPr>
          <w:rFonts w:ascii="Myriad Pro" w:hAnsi="Myriad Pro"/>
          <w:sz w:val="24"/>
          <w:szCs w:val="24"/>
          <w:lang w:val="es-ES"/>
        </w:rPr>
        <w:t>n</w:t>
      </w:r>
      <w:r w:rsidR="00635592" w:rsidRPr="00635592">
        <w:rPr>
          <w:rFonts w:ascii="Myriad Pro" w:hAnsi="Myriad Pro"/>
          <w:sz w:val="24"/>
          <w:szCs w:val="24"/>
          <w:lang w:val="es-ES"/>
        </w:rPr>
        <w:t>cias, sin coincidir necesariamente en ellas. Pese a que el criterio actual del BGH tiene una prehistoria –el caso más conocido previo a la elaboración de este criterio es el denominado “caso del burdel” (</w:t>
      </w:r>
      <w:r w:rsidR="008559A7">
        <w:rPr>
          <w:rFonts w:ascii="Myriad Pro" w:hAnsi="Myriad Pro"/>
          <w:sz w:val="24"/>
          <w:szCs w:val="24"/>
          <w:lang w:val="es-ES"/>
        </w:rPr>
        <w:t xml:space="preserve">1906, </w:t>
      </w:r>
      <w:r w:rsidR="00635592" w:rsidRPr="00635592">
        <w:rPr>
          <w:rFonts w:ascii="Myriad Pro" w:hAnsi="Myriad Pro"/>
          <w:sz w:val="24"/>
          <w:szCs w:val="24"/>
          <w:lang w:val="es-ES"/>
        </w:rPr>
        <w:t>RGSt 39 44), en el cual el RG (excluyó la posib</w:t>
      </w:r>
      <w:r w:rsidR="00635592" w:rsidRPr="00635592">
        <w:rPr>
          <w:rFonts w:ascii="Myriad Pro" w:hAnsi="Myriad Pro"/>
          <w:sz w:val="24"/>
          <w:szCs w:val="24"/>
          <w:lang w:val="es-ES"/>
        </w:rPr>
        <w:t>i</w:t>
      </w:r>
      <w:r w:rsidR="00635592" w:rsidRPr="00635592">
        <w:rPr>
          <w:rFonts w:ascii="Myriad Pro" w:hAnsi="Myriad Pro"/>
          <w:sz w:val="24"/>
          <w:szCs w:val="24"/>
          <w:lang w:val="es-ES"/>
        </w:rPr>
        <w:t xml:space="preserve">lidad de sancionar a título de complicidad en el proxenetismo el suministro continuo de pan y carne al dueño del burdel. Aún cuando dicho suministro servía al sustento </w:t>
      </w:r>
      <w:r w:rsidR="00635592" w:rsidRPr="00635592">
        <w:rPr>
          <w:rFonts w:ascii="Myriad Pro" w:hAnsi="Myriad Pro"/>
          <w:sz w:val="24"/>
          <w:szCs w:val="24"/>
          <w:lang w:val="es-ES"/>
        </w:rPr>
        <w:lastRenderedPageBreak/>
        <w:t>de proxenetas y prostitutas, dicho apoyo no se encontraba en una relación estrecha con el servicio de proxenetismo. Al contrario de esta conclusión, el suministro de vino al mismo dueño del burdel fue sancionado a título de complicidad, dado que las bebidas alcohólicas aumentan la frecuencia y duración de las visitas al burdel, qui</w:t>
      </w:r>
      <w:r w:rsidR="00635592" w:rsidRPr="00635592">
        <w:rPr>
          <w:rFonts w:ascii="Myriad Pro" w:hAnsi="Myriad Pro"/>
          <w:sz w:val="24"/>
          <w:szCs w:val="24"/>
          <w:lang w:val="es-ES"/>
        </w:rPr>
        <w:t>e</w:t>
      </w:r>
      <w:r w:rsidR="00635592" w:rsidRPr="00635592">
        <w:rPr>
          <w:rFonts w:ascii="Myriad Pro" w:hAnsi="Myriad Pro"/>
          <w:sz w:val="24"/>
          <w:szCs w:val="24"/>
          <w:lang w:val="es-ES"/>
        </w:rPr>
        <w:t>nes tienen un motivo adicional para vis</w:t>
      </w:r>
      <w:r w:rsidR="006A6317">
        <w:rPr>
          <w:rFonts w:ascii="Myriad Pro" w:hAnsi="Myriad Pro"/>
          <w:sz w:val="24"/>
          <w:szCs w:val="24"/>
          <w:lang w:val="es-ES"/>
        </w:rPr>
        <w:t xml:space="preserve">itarlo. ¿Cómo fundamentó el RG </w:t>
      </w:r>
      <w:r w:rsidR="00635592" w:rsidRPr="00635592">
        <w:rPr>
          <w:rFonts w:ascii="Myriad Pro" w:hAnsi="Myriad Pro"/>
          <w:sz w:val="24"/>
          <w:szCs w:val="24"/>
          <w:lang w:val="es-ES"/>
        </w:rPr>
        <w:t>el supuesto límite entre</w:t>
      </w:r>
      <w:r w:rsidR="006A6317">
        <w:rPr>
          <w:rFonts w:ascii="Myriad Pro" w:hAnsi="Myriad Pro"/>
          <w:sz w:val="24"/>
          <w:szCs w:val="24"/>
          <w:lang w:val="es-ES"/>
        </w:rPr>
        <w:t xml:space="preserve"> ambos suministros? El RG </w:t>
      </w:r>
      <w:r w:rsidR="00635592" w:rsidRPr="00635592">
        <w:rPr>
          <w:rFonts w:ascii="Myriad Pro" w:hAnsi="Myriad Pro"/>
          <w:sz w:val="24"/>
          <w:szCs w:val="24"/>
          <w:lang w:val="es-ES"/>
        </w:rPr>
        <w:t>afirmó que el suministro de vino se encuentra en una relación más estrecha con la actividad de proxenetismo del dueño del burdel. Schünemann (2007, Nm. 21) sorprendentemente concuerda con este resultado. Crít</w:t>
      </w:r>
      <w:r w:rsidR="00635592" w:rsidRPr="00635592">
        <w:rPr>
          <w:rFonts w:ascii="Myriad Pro" w:hAnsi="Myriad Pro"/>
          <w:sz w:val="24"/>
          <w:szCs w:val="24"/>
          <w:lang w:val="es-ES"/>
        </w:rPr>
        <w:t>i</w:t>
      </w:r>
      <w:r w:rsidR="00635592" w:rsidRPr="00635592">
        <w:rPr>
          <w:rFonts w:ascii="Myriad Pro" w:hAnsi="Myriad Pro"/>
          <w:sz w:val="24"/>
          <w:szCs w:val="24"/>
          <w:lang w:val="es-ES"/>
        </w:rPr>
        <w:t xml:space="preserve">co con este resultado, al contrario, </w:t>
      </w:r>
      <w:r w:rsidR="00635592" w:rsidRPr="00635592">
        <w:rPr>
          <w:rFonts w:ascii="Myriad Pro" w:hAnsi="Myriad Pro"/>
          <w:sz w:val="24"/>
          <w:szCs w:val="24"/>
        </w:rPr>
        <w:t xml:space="preserve">Roxin </w:t>
      </w:r>
      <w:r w:rsidR="00635592" w:rsidRPr="00635592">
        <w:rPr>
          <w:rFonts w:ascii="Myriad Pro" w:hAnsi="Myriad Pro"/>
          <w:sz w:val="24"/>
          <w:szCs w:val="24"/>
          <w:lang w:val="es-ES"/>
        </w:rPr>
        <w:t xml:space="preserve">(1993b, Nm. 20) y </w:t>
      </w:r>
      <w:r w:rsidR="00635592" w:rsidRPr="00635592">
        <w:rPr>
          <w:rFonts w:ascii="Myriad Pro" w:hAnsi="Myriad Pro"/>
          <w:sz w:val="24"/>
          <w:szCs w:val="24"/>
        </w:rPr>
        <w:t>Puppe</w:t>
      </w:r>
      <w:r w:rsidR="00635592" w:rsidRPr="00635592">
        <w:rPr>
          <w:rFonts w:ascii="Myriad Pro" w:hAnsi="Myriad Pro"/>
          <w:bCs/>
          <w:smallCaps/>
          <w:sz w:val="24"/>
          <w:szCs w:val="24"/>
          <w:lang w:val="es-ES"/>
        </w:rPr>
        <w:t xml:space="preserve"> </w:t>
      </w:r>
      <w:r w:rsidR="00635592" w:rsidRPr="00635592">
        <w:rPr>
          <w:rFonts w:ascii="Myriad Pro" w:hAnsi="Myriad Pro"/>
          <w:sz w:val="24"/>
          <w:szCs w:val="24"/>
        </w:rPr>
        <w:t>(1998, p.</w:t>
      </w:r>
      <w:r w:rsidR="00635592" w:rsidRPr="00635592">
        <w:rPr>
          <w:rFonts w:ascii="Myriad Pro" w:hAnsi="Myriad Pro"/>
          <w:sz w:val="24"/>
          <w:szCs w:val="24"/>
          <w:lang w:val="es-ES"/>
        </w:rPr>
        <w:t xml:space="preserve"> 27</w:t>
      </w:r>
      <w:proofErr w:type="gramStart"/>
      <w:r w:rsidR="00635592" w:rsidRPr="00635592">
        <w:rPr>
          <w:rFonts w:ascii="Myriad Pro" w:hAnsi="Myriad Pro"/>
          <w:sz w:val="24"/>
          <w:szCs w:val="24"/>
          <w:lang w:val="es-ES"/>
        </w:rPr>
        <w:t>)–</w:t>
      </w:r>
      <w:proofErr w:type="gramEnd"/>
      <w:r w:rsidR="00635592" w:rsidRPr="00635592">
        <w:rPr>
          <w:rFonts w:ascii="Myriad Pro" w:hAnsi="Myriad Pro"/>
          <w:sz w:val="24"/>
          <w:szCs w:val="24"/>
          <w:lang w:val="es-ES"/>
        </w:rPr>
        <w:t xml:space="preserve"> , en este apartado solo se expondrá el criterio objetivo-subjetivo desarrollado por dicho tribunal supremo por medio de algunas sentencias. En las contribuciones de Meyer-Arndt (1989, p. 282 y ss.) y Lesch (2014, p. 453 y ss.) se encuentra una detallada exp</w:t>
      </w:r>
      <w:r w:rsidR="00635592" w:rsidRPr="00635592">
        <w:rPr>
          <w:rFonts w:ascii="Myriad Pro" w:hAnsi="Myriad Pro"/>
          <w:sz w:val="24"/>
          <w:szCs w:val="24"/>
          <w:lang w:val="es-ES"/>
        </w:rPr>
        <w:t>o</w:t>
      </w:r>
      <w:r w:rsidR="00635592" w:rsidRPr="00635592">
        <w:rPr>
          <w:rFonts w:ascii="Myriad Pro" w:hAnsi="Myriad Pro"/>
          <w:sz w:val="24"/>
          <w:szCs w:val="24"/>
          <w:lang w:val="es-ES"/>
        </w:rPr>
        <w:t>sición de las sentencias</w:t>
      </w:r>
      <w:r w:rsidR="00635592" w:rsidRPr="00635592">
        <w:rPr>
          <w:rFonts w:ascii="Myriad Pro" w:hAnsi="Myriad Pro"/>
          <w:sz w:val="24"/>
          <w:szCs w:val="24"/>
        </w:rPr>
        <w:t xml:space="preserve">. </w:t>
      </w:r>
    </w:p>
    <w:p w14:paraId="7B7258BD" w14:textId="77777777" w:rsidR="00635592" w:rsidRPr="00635592" w:rsidRDefault="00635592" w:rsidP="00635592">
      <w:pPr>
        <w:widowControl w:val="0"/>
        <w:spacing w:before="200"/>
        <w:jc w:val="both"/>
        <w:rPr>
          <w:rFonts w:ascii="Garamond" w:hAnsi="Garamond"/>
          <w:sz w:val="24"/>
          <w:szCs w:val="24"/>
          <w:lang w:val="es-ES"/>
        </w:rPr>
      </w:pPr>
      <w:r w:rsidRPr="00635592">
        <w:rPr>
          <w:rFonts w:ascii="Garamond" w:hAnsi="Garamond"/>
          <w:sz w:val="24"/>
          <w:szCs w:val="24"/>
          <w:lang w:val="es-ES"/>
        </w:rPr>
        <w:tab/>
      </w:r>
      <w:r w:rsidRPr="00635592">
        <w:rPr>
          <w:rFonts w:ascii="Myriad Pro" w:hAnsi="Myriad Pro"/>
          <w:sz w:val="24"/>
          <w:szCs w:val="24"/>
          <w:lang w:val="es-ES"/>
        </w:rPr>
        <w:t>El denominado “caso de la evasión de impuestos”</w:t>
      </w:r>
      <w:r w:rsidRPr="00635592">
        <w:rPr>
          <w:rFonts w:ascii="Myriad Pro" w:hAnsi="Myriad Pro"/>
          <w:sz w:val="24"/>
          <w:szCs w:val="24"/>
        </w:rPr>
        <w:t xml:space="preserve"> (5 StR 624/99, 2000)</w:t>
      </w:r>
      <w:r w:rsidRPr="00635592">
        <w:rPr>
          <w:rFonts w:ascii="Myriad Pro" w:hAnsi="Myriad Pro"/>
          <w:sz w:val="24"/>
          <w:szCs w:val="24"/>
          <w:lang w:val="es-ES"/>
        </w:rPr>
        <w:t xml:space="preserve"> resume una serie de tres sentencias del 5. Senado del BGH de los años 1998 (</w:t>
      </w:r>
      <w:r w:rsidRPr="00635592">
        <w:rPr>
          <w:rFonts w:ascii="Myriad Pro" w:hAnsi="Myriad Pro"/>
          <w:sz w:val="24"/>
          <w:szCs w:val="24"/>
        </w:rPr>
        <w:t>5 StR 746/97)</w:t>
      </w:r>
      <w:r w:rsidRPr="00635592">
        <w:rPr>
          <w:rFonts w:ascii="Myriad Pro" w:hAnsi="Myriad Pro"/>
          <w:sz w:val="24"/>
          <w:szCs w:val="24"/>
          <w:lang w:val="es-ES"/>
        </w:rPr>
        <w:t>, 1999 (5 StR 729/98) y 2000 (</w:t>
      </w:r>
      <w:r w:rsidRPr="00635592">
        <w:rPr>
          <w:rFonts w:ascii="Myriad Pro" w:hAnsi="Myriad Pro"/>
          <w:sz w:val="24"/>
          <w:szCs w:val="24"/>
        </w:rPr>
        <w:t>5 StR 624/99).</w:t>
      </w:r>
      <w:r w:rsidRPr="00635592">
        <w:rPr>
          <w:rFonts w:ascii="Myriad Pro" w:hAnsi="Myriad Pro"/>
          <w:sz w:val="24"/>
          <w:szCs w:val="24"/>
          <w:lang w:val="es-ES"/>
        </w:rPr>
        <w:t xml:space="preserve"> En dicha decisión, el BGH aplicó el criterio ya desarrollado previamente en el denominado “caso del folleto comercial” (5 StR 729/98,1999), para el arduamente discutido problema de la colaboración de los e</w:t>
      </w:r>
      <w:r w:rsidRPr="00635592">
        <w:rPr>
          <w:rFonts w:ascii="Myriad Pro" w:hAnsi="Myriad Pro"/>
          <w:sz w:val="24"/>
          <w:szCs w:val="24"/>
          <w:lang w:val="es-ES"/>
        </w:rPr>
        <w:t>m</w:t>
      </w:r>
      <w:r w:rsidRPr="00635592">
        <w:rPr>
          <w:rFonts w:ascii="Myriad Pro" w:hAnsi="Myriad Pro"/>
          <w:sz w:val="24"/>
          <w:szCs w:val="24"/>
          <w:lang w:val="es-ES"/>
        </w:rPr>
        <w:t xml:space="preserve">pleados bancarios en una evasión tributaria, declarando que dichos principios tienen validez general (Roxin, 2003, p. 217). La distinción más relevante del criterio radica en el conocimiento de quien colabora: </w:t>
      </w:r>
    </w:p>
    <w:p w14:paraId="6CC355F3" w14:textId="77777777" w:rsidR="00635592" w:rsidRPr="00635592" w:rsidRDefault="00635592" w:rsidP="00B51469">
      <w:pPr>
        <w:widowControl w:val="0"/>
        <w:spacing w:before="200" w:line="240" w:lineRule="auto"/>
        <w:ind w:left="1134"/>
        <w:jc w:val="both"/>
        <w:rPr>
          <w:rFonts w:ascii="Myriad Pro" w:hAnsi="Myriad Pro"/>
          <w:sz w:val="24"/>
          <w:szCs w:val="24"/>
          <w:lang w:val="en-US"/>
        </w:rPr>
      </w:pPr>
      <w:r w:rsidRPr="00635592">
        <w:rPr>
          <w:rFonts w:ascii="Myriad Pro" w:hAnsi="Myriad Pro"/>
          <w:sz w:val="24"/>
          <w:szCs w:val="24"/>
          <w:lang w:val="en-US"/>
        </w:rPr>
        <w:t>Zielt das Handeln des Haupttäters ausschließlich darauf ab, eine strafbare Handlung zu begehen, und weiß dies der Hilfeleistende, so ist sein Tatbe</w:t>
      </w:r>
      <w:r w:rsidRPr="00635592">
        <w:rPr>
          <w:rFonts w:ascii="Myriad Pro" w:hAnsi="Myriad Pro"/>
          <w:sz w:val="24"/>
          <w:szCs w:val="24"/>
          <w:lang w:val="en-US"/>
        </w:rPr>
        <w:t>i</w:t>
      </w:r>
      <w:r w:rsidRPr="00635592">
        <w:rPr>
          <w:rFonts w:ascii="Myriad Pro" w:hAnsi="Myriad Pro"/>
          <w:sz w:val="24"/>
          <w:szCs w:val="24"/>
          <w:lang w:val="en-US"/>
        </w:rPr>
        <w:t>trag als Beihilfehandlung zu werten […] Weiß der Hilfeleistende dagegen nicht, wie der von ihm geleistete Beitrag vom Haupttäter verwendet wird, hält er es lediglich für möglich, daß sein Tun zur Begehung einer Straftat genutzt wird, so ist sein Handeln regelmäßig noch nicht als strafbare Be</w:t>
      </w:r>
      <w:r w:rsidRPr="00635592">
        <w:rPr>
          <w:rFonts w:ascii="Myriad Pro" w:hAnsi="Myriad Pro"/>
          <w:sz w:val="24"/>
          <w:szCs w:val="24"/>
          <w:lang w:val="en-US"/>
        </w:rPr>
        <w:t>i</w:t>
      </w:r>
      <w:r w:rsidRPr="00635592">
        <w:rPr>
          <w:rFonts w:ascii="Myriad Pro" w:hAnsi="Myriad Pro"/>
          <w:sz w:val="24"/>
          <w:szCs w:val="24"/>
          <w:lang w:val="en-US"/>
        </w:rPr>
        <w:t>hilfehandlung zu beurteilen, es sei denn, das von ihm erkannte Risiko strafbaren Verhaltens des von ihm Unterstützten war derart hoch, daß er sich mit seiner Hilfeleistung „die Förderung eines erkennbar tatgeneigten Täters angelegen sein“ ließ…(5 StR 624/99, 2000, B, I, 2, c)</w:t>
      </w:r>
      <w:r w:rsidRPr="00635592">
        <w:rPr>
          <w:rStyle w:val="Ancladenotaalpie"/>
          <w:rFonts w:ascii="Myriad Pro" w:hAnsi="Myriad Pro"/>
          <w:sz w:val="24"/>
          <w:szCs w:val="24"/>
        </w:rPr>
        <w:footnoteReference w:id="35"/>
      </w:r>
    </w:p>
    <w:p w14:paraId="1CC53EE5" w14:textId="77777777" w:rsidR="00635592" w:rsidRPr="00635592" w:rsidRDefault="00635592" w:rsidP="00635592">
      <w:pPr>
        <w:widowControl w:val="0"/>
        <w:spacing w:before="200"/>
        <w:jc w:val="both"/>
        <w:rPr>
          <w:rFonts w:ascii="Myriad Pro" w:hAnsi="Myriad Pro"/>
          <w:sz w:val="24"/>
          <w:szCs w:val="24"/>
          <w:lang w:val="en-US"/>
        </w:rPr>
      </w:pPr>
      <w:r w:rsidRPr="00635592">
        <w:rPr>
          <w:rFonts w:ascii="Myriad Pro" w:hAnsi="Myriad Pro"/>
          <w:sz w:val="24"/>
          <w:szCs w:val="24"/>
          <w:lang w:val="en-US"/>
        </w:rPr>
        <w:tab/>
      </w:r>
      <w:r w:rsidRPr="00635592">
        <w:rPr>
          <w:rFonts w:ascii="Myriad Pro" w:hAnsi="Myriad Pro"/>
          <w:sz w:val="24"/>
          <w:szCs w:val="24"/>
        </w:rPr>
        <w:t>Otto (2001)</w:t>
      </w:r>
      <w:r w:rsidRPr="00635592">
        <w:rPr>
          <w:rFonts w:ascii="Myriad Pro" w:hAnsi="Myriad Pro"/>
          <w:sz w:val="24"/>
          <w:szCs w:val="24"/>
          <w:lang w:val="es-ES"/>
        </w:rPr>
        <w:t xml:space="preserve"> discute ese resultado, dado que no existiría seguridad en la com</w:t>
      </w:r>
      <w:r w:rsidRPr="00635592">
        <w:rPr>
          <w:rFonts w:ascii="Myriad Pro" w:hAnsi="Myriad Pro"/>
          <w:sz w:val="24"/>
          <w:szCs w:val="24"/>
          <w:lang w:val="es-ES"/>
        </w:rPr>
        <w:t>i</w:t>
      </w:r>
      <w:r w:rsidRPr="00635592">
        <w:rPr>
          <w:rFonts w:ascii="Myriad Pro" w:hAnsi="Myriad Pro"/>
          <w:sz w:val="24"/>
          <w:szCs w:val="24"/>
          <w:lang w:val="es-ES"/>
        </w:rPr>
        <w:t>sión de una evasión de impuestos posterior, desde que no toda transferencia anón</w:t>
      </w:r>
      <w:r w:rsidRPr="00635592">
        <w:rPr>
          <w:rFonts w:ascii="Myriad Pro" w:hAnsi="Myriad Pro"/>
          <w:sz w:val="24"/>
          <w:szCs w:val="24"/>
          <w:lang w:val="es-ES"/>
        </w:rPr>
        <w:t>i</w:t>
      </w:r>
      <w:r w:rsidRPr="00635592">
        <w:rPr>
          <w:rFonts w:ascii="Myriad Pro" w:hAnsi="Myriad Pro"/>
          <w:sz w:val="24"/>
          <w:szCs w:val="24"/>
          <w:lang w:val="es-ES"/>
        </w:rPr>
        <w:t xml:space="preserve">ma es seguida de una evasión de impuestos. </w:t>
      </w:r>
      <w:r w:rsidRPr="00635592">
        <w:rPr>
          <w:rFonts w:ascii="Myriad Pro" w:hAnsi="Myriad Pro"/>
          <w:sz w:val="24"/>
          <w:szCs w:val="24"/>
          <w:lang w:val="en-US"/>
        </w:rPr>
        <w:t>En este sentido sostiene que “Bei Spa</w:t>
      </w:r>
      <w:r w:rsidRPr="00635592">
        <w:rPr>
          <w:rFonts w:ascii="Myriad Pro" w:hAnsi="Myriad Pro"/>
          <w:sz w:val="24"/>
          <w:szCs w:val="24"/>
          <w:lang w:val="en-US"/>
        </w:rPr>
        <w:t>r</w:t>
      </w:r>
      <w:r w:rsidRPr="00635592">
        <w:rPr>
          <w:rFonts w:ascii="Myriad Pro" w:hAnsi="Myriad Pro"/>
          <w:sz w:val="24"/>
          <w:szCs w:val="24"/>
          <w:lang w:val="en-US"/>
        </w:rPr>
        <w:t xml:space="preserve">kassen, Volksbanken und anderen kleinen Banken erscheint es angemessen, davon </w:t>
      </w:r>
      <w:r w:rsidRPr="00635592">
        <w:rPr>
          <w:rFonts w:ascii="Myriad Pro" w:hAnsi="Myriad Pro"/>
          <w:sz w:val="24"/>
          <w:szCs w:val="24"/>
          <w:lang w:val="en-US"/>
        </w:rPr>
        <w:lastRenderedPageBreak/>
        <w:t>auszugehen, dass weniger als 70% der anonymen Überweisungen mit einer Steuerhinterziehung verbunden waren” (p. 443)</w:t>
      </w:r>
      <w:r w:rsidRPr="00635592">
        <w:rPr>
          <w:rStyle w:val="Refdenotaalpie"/>
          <w:rFonts w:ascii="Myriad Pro" w:hAnsi="Myriad Pro"/>
          <w:sz w:val="24"/>
          <w:szCs w:val="24"/>
          <w:lang w:val="en-US"/>
        </w:rPr>
        <w:footnoteReference w:id="36"/>
      </w:r>
      <w:r w:rsidRPr="00635592">
        <w:rPr>
          <w:rFonts w:ascii="Myriad Pro" w:hAnsi="Myriad Pro"/>
          <w:sz w:val="24"/>
          <w:szCs w:val="24"/>
          <w:lang w:val="en-US"/>
        </w:rPr>
        <w:t>.</w:t>
      </w:r>
    </w:p>
    <w:p w14:paraId="560A9528" w14:textId="77777777" w:rsidR="00635592" w:rsidRPr="00635592" w:rsidRDefault="00635592" w:rsidP="00635592">
      <w:pPr>
        <w:widowControl w:val="0"/>
        <w:spacing w:before="200"/>
        <w:jc w:val="both"/>
        <w:rPr>
          <w:sz w:val="24"/>
          <w:szCs w:val="24"/>
        </w:rPr>
      </w:pPr>
      <w:r w:rsidRPr="00635592">
        <w:rPr>
          <w:rFonts w:ascii="Myriad Pro" w:hAnsi="Myriad Pro"/>
          <w:sz w:val="24"/>
          <w:szCs w:val="24"/>
          <w:lang w:val="en-US"/>
        </w:rPr>
        <w:tab/>
      </w:r>
      <w:r w:rsidRPr="00635592">
        <w:rPr>
          <w:rFonts w:ascii="Myriad Pro" w:hAnsi="Myriad Pro"/>
          <w:sz w:val="24"/>
          <w:szCs w:val="24"/>
          <w:lang w:val="es-ES"/>
        </w:rPr>
        <w:t>El elemento más importante se encuentra vinculado al dolo: el colaborador sabe o simplemente cree como posible que su hacer será utilizado para cometer un hecho punible. Una restricción de la imputación, de acuerdo con la opinión del BGH, solo podría venir en consideración por definición para el dolo eventual (Lesch, 2014, p. 458), Greco (2015), resume el criterio bajo la siguiente fórmula: “</w:t>
      </w:r>
      <w:r w:rsidRPr="00635592">
        <w:rPr>
          <w:rFonts w:ascii="Myriad Pro" w:hAnsi="Myriad Pro"/>
          <w:sz w:val="24"/>
          <w:szCs w:val="24"/>
        </w:rPr>
        <w:t>Der Gehilfe, der um die Haupttat sicher weiß, macht sich strafbar; der zweifelnde ‚</w:t>
      </w:r>
      <w:proofErr w:type="gramStart"/>
      <w:r w:rsidRPr="00635592">
        <w:rPr>
          <w:rFonts w:ascii="Myriad Pro" w:hAnsi="Myriad Pro"/>
          <w:sz w:val="24"/>
          <w:szCs w:val="24"/>
        </w:rPr>
        <w:t>Gehilfe‘ bleibt</w:t>
      </w:r>
      <w:proofErr w:type="gramEnd"/>
      <w:r w:rsidRPr="00635592">
        <w:rPr>
          <w:rFonts w:ascii="Myriad Pro" w:hAnsi="Myriad Pro"/>
          <w:sz w:val="24"/>
          <w:szCs w:val="24"/>
        </w:rPr>
        <w:t xml:space="preserve"> grundsätzlich straflos, es sei denn, er fördert einen erkennbar Tatgeneigten” (p. 1)</w:t>
      </w:r>
      <w:r w:rsidRPr="00635592">
        <w:rPr>
          <w:rStyle w:val="Ancladenotaalpie"/>
          <w:rFonts w:ascii="Myriad Pro" w:hAnsi="Myriad Pro"/>
          <w:sz w:val="24"/>
          <w:szCs w:val="24"/>
        </w:rPr>
        <w:footnoteReference w:id="37"/>
      </w:r>
      <w:r w:rsidRPr="00635592">
        <w:rPr>
          <w:rFonts w:ascii="Myriad Pro" w:hAnsi="Myriad Pro"/>
          <w:sz w:val="24"/>
          <w:szCs w:val="24"/>
        </w:rPr>
        <w:t xml:space="preserve">. </w:t>
      </w:r>
      <w:r w:rsidRPr="00635592">
        <w:rPr>
          <w:rFonts w:ascii="Myriad Pro" w:hAnsi="Myriad Pro"/>
          <w:sz w:val="24"/>
          <w:szCs w:val="24"/>
          <w:lang w:val="es-ES"/>
        </w:rPr>
        <w:t>Según Roxin (2003, p. 218), el citado criterio del BGH contiene también como el</w:t>
      </w:r>
      <w:r w:rsidRPr="00635592">
        <w:rPr>
          <w:rFonts w:ascii="Myriad Pro" w:hAnsi="Myriad Pro"/>
          <w:sz w:val="24"/>
          <w:szCs w:val="24"/>
          <w:lang w:val="es-ES"/>
        </w:rPr>
        <w:t>e</w:t>
      </w:r>
      <w:r w:rsidRPr="00635592">
        <w:rPr>
          <w:rFonts w:ascii="Myriad Pro" w:hAnsi="Myriad Pro"/>
          <w:sz w:val="24"/>
          <w:szCs w:val="24"/>
          <w:lang w:val="es-ES"/>
        </w:rPr>
        <w:t>mento objetivo la relación de sentido delictivo. Si bien dicho elemento objetivo no estaría explícito en la citada sentencia, ello se encontraría implícito en la oración condicional previamente citada: “</w:t>
      </w:r>
      <w:r w:rsidRPr="00635592">
        <w:rPr>
          <w:rFonts w:ascii="Myriad Pro" w:hAnsi="Myriad Pro"/>
          <w:sz w:val="24"/>
          <w:szCs w:val="24"/>
        </w:rPr>
        <w:t>Zielt das Handeln des Haupttäters ausschließlich darauf ab, eine strafbare Handlung zu begehen…” (5 StR 624/99, 2000, B, I, 2, c)</w:t>
      </w:r>
      <w:r w:rsidRPr="00635592">
        <w:rPr>
          <w:rStyle w:val="Refdenotaalpie"/>
          <w:rFonts w:ascii="Myriad Pro" w:hAnsi="Myriad Pro"/>
          <w:sz w:val="24"/>
          <w:szCs w:val="24"/>
          <w:lang w:val="es-ES"/>
        </w:rPr>
        <w:footnoteReference w:id="38"/>
      </w:r>
      <w:r w:rsidRPr="00635592">
        <w:rPr>
          <w:rFonts w:ascii="Myriad Pro" w:hAnsi="Myriad Pro"/>
          <w:sz w:val="24"/>
          <w:szCs w:val="24"/>
          <w:lang w:val="es-ES"/>
        </w:rPr>
        <w:t>. Al mismo tiempo, el BGH ha delimitado los bordes de su criterio: no es posible sostener una impunidad general para acciones profesionales o cotidianas. Normalmente la punibilidad de una acción depende del contexto y, por ello, no puede ser descartada la punibilidad anticipadamente. Este principio se encuentra claramente expresado por el BGH en su razonamiento:</w:t>
      </w:r>
      <w:r w:rsidRPr="00635592">
        <w:rPr>
          <w:sz w:val="24"/>
          <w:szCs w:val="24"/>
        </w:rPr>
        <w:t xml:space="preserve"> </w:t>
      </w:r>
    </w:p>
    <w:p w14:paraId="6F0901AF" w14:textId="77777777" w:rsidR="00635592" w:rsidRPr="00635592" w:rsidRDefault="00635592" w:rsidP="00B51469">
      <w:pPr>
        <w:widowControl w:val="0"/>
        <w:spacing w:before="200" w:line="240" w:lineRule="auto"/>
        <w:ind w:left="1134"/>
        <w:jc w:val="both"/>
        <w:rPr>
          <w:rFonts w:ascii="Myriad Pro" w:hAnsi="Myriad Pro"/>
          <w:sz w:val="24"/>
          <w:szCs w:val="24"/>
        </w:rPr>
      </w:pPr>
      <w:r w:rsidRPr="00635592">
        <w:rPr>
          <w:rFonts w:ascii="Myriad Pro" w:hAnsi="Myriad Pro"/>
          <w:sz w:val="24"/>
          <w:szCs w:val="24"/>
          <w:lang w:val="en-US"/>
        </w:rPr>
        <w:t>Eine generelle Straflosigkeit von „neutralen“, „berufstypischen“ oder „pr</w:t>
      </w:r>
      <w:r w:rsidRPr="00635592">
        <w:rPr>
          <w:rFonts w:ascii="Myriad Pro" w:hAnsi="Myriad Pro"/>
          <w:sz w:val="24"/>
          <w:szCs w:val="24"/>
          <w:lang w:val="en-US"/>
        </w:rPr>
        <w:t>o</w:t>
      </w:r>
      <w:r w:rsidRPr="00635592">
        <w:rPr>
          <w:rFonts w:ascii="Myriad Pro" w:hAnsi="Myriad Pro"/>
          <w:sz w:val="24"/>
          <w:szCs w:val="24"/>
          <w:lang w:val="en-US"/>
        </w:rPr>
        <w:t xml:space="preserve">fessionell adäquaten“ Handlungen kommt dagegen nicht in Betracht. Weder Alltagshandlungen noch berufstypische Handlungen </w:t>
      </w:r>
      <w:proofErr w:type="gramStart"/>
      <w:r w:rsidRPr="00635592">
        <w:rPr>
          <w:rFonts w:ascii="Myriad Pro" w:hAnsi="Myriad Pro"/>
          <w:sz w:val="24"/>
          <w:szCs w:val="24"/>
          <w:lang w:val="en-US"/>
        </w:rPr>
        <w:t>sind</w:t>
      </w:r>
      <w:proofErr w:type="gramEnd"/>
      <w:r w:rsidRPr="00635592">
        <w:rPr>
          <w:rFonts w:ascii="Myriad Pro" w:hAnsi="Myriad Pro"/>
          <w:sz w:val="24"/>
          <w:szCs w:val="24"/>
          <w:lang w:val="en-US"/>
        </w:rPr>
        <w:t xml:space="preserve"> in jedem Fall neutral. Fast jede Handlung kann in einen strafbaren Kontext gestellt werden (vgl. Roxin, Festschrift für Koichi Miyazawa 1995 S. 501, 515). Die genannten Begriffe </w:t>
      </w:r>
      <w:proofErr w:type="gramStart"/>
      <w:r w:rsidRPr="00635592">
        <w:rPr>
          <w:rFonts w:ascii="Myriad Pro" w:hAnsi="Myriad Pro"/>
          <w:sz w:val="24"/>
          <w:szCs w:val="24"/>
          <w:lang w:val="en-US"/>
        </w:rPr>
        <w:t>sind</w:t>
      </w:r>
      <w:proofErr w:type="gramEnd"/>
      <w:r w:rsidRPr="00635592">
        <w:rPr>
          <w:rFonts w:ascii="Myriad Pro" w:hAnsi="Myriad Pro"/>
          <w:sz w:val="24"/>
          <w:szCs w:val="24"/>
          <w:lang w:val="en-US"/>
        </w:rPr>
        <w:t xml:space="preserve"> daher für sich allein nicht geeignet, strafbare Beihilfe von erlaubtem Handeln eindeutig abzugrenzen. </w:t>
      </w:r>
      <w:r w:rsidRPr="00635592">
        <w:rPr>
          <w:rFonts w:ascii="Myriad Pro" w:hAnsi="Myriad Pro"/>
          <w:sz w:val="24"/>
          <w:szCs w:val="24"/>
        </w:rPr>
        <w:t>(5 StR 624/99, 2000, B, I, 2, c)</w:t>
      </w:r>
      <w:r w:rsidRPr="00635592">
        <w:rPr>
          <w:rStyle w:val="Ancladenotaalpie"/>
          <w:rFonts w:ascii="Myriad Pro" w:hAnsi="Myriad Pro"/>
          <w:sz w:val="24"/>
          <w:szCs w:val="24"/>
        </w:rPr>
        <w:t xml:space="preserve"> </w:t>
      </w:r>
      <w:r w:rsidRPr="00635592">
        <w:rPr>
          <w:rStyle w:val="Ancladenotaalpie"/>
          <w:rFonts w:ascii="Myriad Pro" w:hAnsi="Myriad Pro"/>
          <w:sz w:val="24"/>
          <w:szCs w:val="24"/>
        </w:rPr>
        <w:footnoteReference w:id="39"/>
      </w:r>
      <w:r w:rsidRPr="00635592">
        <w:rPr>
          <w:rFonts w:ascii="Myriad Pro" w:hAnsi="Myriad Pro"/>
          <w:sz w:val="24"/>
          <w:szCs w:val="24"/>
        </w:rPr>
        <w:t xml:space="preserve">  </w:t>
      </w:r>
    </w:p>
    <w:p w14:paraId="479294D4" w14:textId="77777777" w:rsidR="00635592" w:rsidRPr="00635592" w:rsidRDefault="00635592" w:rsidP="00635592">
      <w:pPr>
        <w:pStyle w:val="Textonotapie"/>
        <w:spacing w:line="276" w:lineRule="auto"/>
        <w:jc w:val="both"/>
        <w:rPr>
          <w:rFonts w:ascii="Myriad Pro" w:hAnsi="Myriad Pro"/>
          <w:sz w:val="24"/>
          <w:szCs w:val="24"/>
          <w:lang w:val="es-ES"/>
        </w:rPr>
      </w:pPr>
      <w:r w:rsidRPr="00635592">
        <w:rPr>
          <w:rFonts w:ascii="Myriad Pro" w:hAnsi="Myriad Pro"/>
          <w:sz w:val="24"/>
          <w:szCs w:val="24"/>
        </w:rPr>
        <w:tab/>
      </w:r>
      <w:r w:rsidRPr="00635592">
        <w:rPr>
          <w:rFonts w:ascii="Myriad Pro" w:hAnsi="Myriad Pro"/>
          <w:sz w:val="24"/>
          <w:szCs w:val="24"/>
          <w:lang w:val="es-ES"/>
        </w:rPr>
        <w:t>Luego de numeras reiteraciones y confirmaciones literales del criterio previ</w:t>
      </w:r>
      <w:r w:rsidRPr="00635592">
        <w:rPr>
          <w:rFonts w:ascii="Myriad Pro" w:hAnsi="Myriad Pro"/>
          <w:sz w:val="24"/>
          <w:szCs w:val="24"/>
          <w:lang w:val="es-ES"/>
        </w:rPr>
        <w:t>a</w:t>
      </w:r>
      <w:r w:rsidRPr="00635592">
        <w:rPr>
          <w:rFonts w:ascii="Myriad Pro" w:hAnsi="Myriad Pro"/>
          <w:sz w:val="24"/>
          <w:szCs w:val="24"/>
          <w:lang w:val="es-ES"/>
        </w:rPr>
        <w:t>mente desarrollado por el BGH (ver Greco, 2015, p. 1, Nota al pie 8) en el denominado “caso del concurso” (</w:t>
      </w:r>
      <w:r w:rsidRPr="00635592">
        <w:rPr>
          <w:rFonts w:ascii="Myriad Pro" w:hAnsi="Myriad Pro"/>
          <w:sz w:val="24"/>
          <w:szCs w:val="24"/>
        </w:rPr>
        <w:t xml:space="preserve">5 StR 468/12, </w:t>
      </w:r>
      <w:r w:rsidRPr="00635592">
        <w:rPr>
          <w:rFonts w:ascii="Myriad Pro" w:hAnsi="Myriad Pro"/>
          <w:sz w:val="24"/>
          <w:szCs w:val="24"/>
          <w:lang w:val="es-ES"/>
        </w:rPr>
        <w:t>2014), el referido tribunal incorporó explícitame</w:t>
      </w:r>
      <w:r w:rsidRPr="00635592">
        <w:rPr>
          <w:rFonts w:ascii="Myriad Pro" w:hAnsi="Myriad Pro"/>
          <w:sz w:val="24"/>
          <w:szCs w:val="24"/>
          <w:lang w:val="es-ES"/>
        </w:rPr>
        <w:t>n</w:t>
      </w:r>
      <w:r w:rsidRPr="00635592">
        <w:rPr>
          <w:rFonts w:ascii="Myriad Pro" w:hAnsi="Myriad Pro"/>
          <w:sz w:val="24"/>
          <w:szCs w:val="24"/>
          <w:lang w:val="es-ES"/>
        </w:rPr>
        <w:t>te como criterio objetivo en el acto de colaboración la relación de sentido delictivo (</w:t>
      </w:r>
      <w:r w:rsidRPr="006A6317">
        <w:rPr>
          <w:rFonts w:ascii="Myriad Pro" w:hAnsi="Myriad Pro"/>
          <w:sz w:val="24"/>
          <w:szCs w:val="24"/>
        </w:rPr>
        <w:t xml:space="preserve">Joecks, </w:t>
      </w:r>
      <w:r w:rsidRPr="006A6317">
        <w:rPr>
          <w:rFonts w:ascii="Myriad Pro" w:hAnsi="Myriad Pro" w:cs="Times New Roman"/>
          <w:sz w:val="24"/>
          <w:szCs w:val="24"/>
        </w:rPr>
        <w:t>2017</w:t>
      </w:r>
      <w:r w:rsidRPr="006A6317">
        <w:rPr>
          <w:rFonts w:ascii="Myriad Pro" w:hAnsi="Myriad Pro" w:cs="Times New Roman"/>
          <w:smallCaps/>
          <w:sz w:val="24"/>
          <w:szCs w:val="24"/>
        </w:rPr>
        <w:t>,</w:t>
      </w:r>
      <w:r w:rsidRPr="006A6317">
        <w:rPr>
          <w:rFonts w:ascii="Myriad Pro" w:hAnsi="Myriad Pro" w:cs="Times New Roman"/>
          <w:sz w:val="24"/>
          <w:szCs w:val="24"/>
        </w:rPr>
        <w:t xml:space="preserve"> Nm. 63 y 64).</w:t>
      </w:r>
      <w:r w:rsidRPr="00635592">
        <w:rPr>
          <w:rFonts w:ascii="Myriad Pro" w:hAnsi="Myriad Pro"/>
          <w:sz w:val="24"/>
          <w:szCs w:val="24"/>
          <w:lang w:val="es-ES"/>
        </w:rPr>
        <w:t xml:space="preserve"> El nuevo ingrediente de la teoría ya clásica afirma que:</w:t>
      </w:r>
    </w:p>
    <w:p w14:paraId="5D646567" w14:textId="77777777" w:rsidR="00635592" w:rsidRPr="00635592" w:rsidRDefault="00635592" w:rsidP="00B51469">
      <w:pPr>
        <w:pStyle w:val="Textonotapie"/>
        <w:spacing w:before="200" w:after="200"/>
        <w:ind w:left="1134"/>
        <w:jc w:val="both"/>
        <w:rPr>
          <w:rFonts w:ascii="Garamond" w:hAnsi="Garamond"/>
          <w:sz w:val="24"/>
          <w:szCs w:val="24"/>
          <w:lang w:val="es-ES"/>
        </w:rPr>
      </w:pPr>
      <w:r w:rsidRPr="00635592">
        <w:rPr>
          <w:rFonts w:ascii="Myriad Pro" w:hAnsi="Myriad Pro"/>
          <w:sz w:val="24"/>
          <w:szCs w:val="24"/>
        </w:rPr>
        <w:lastRenderedPageBreak/>
        <w:t>Aus objektiven Gründen kann eine strafbare Beihilfe zu verneinen sein, wenn dem Handeln des – um die bevorstehende Deliktsverwirklichung wissenden – Täters der „deliktische Sinnbezug</w:t>
      </w:r>
      <w:proofErr w:type="gramStart"/>
      <w:r w:rsidRPr="00635592">
        <w:rPr>
          <w:rFonts w:ascii="Myriad Pro" w:hAnsi="Myriad Pro"/>
          <w:sz w:val="24"/>
          <w:szCs w:val="24"/>
        </w:rPr>
        <w:t>“ (</w:t>
      </w:r>
      <w:proofErr w:type="gramEnd"/>
      <w:r w:rsidRPr="00635592">
        <w:rPr>
          <w:rFonts w:ascii="Myriad Pro" w:hAnsi="Myriad Pro"/>
          <w:sz w:val="24"/>
          <w:szCs w:val="24"/>
        </w:rPr>
        <w:t>Schünemann aaO Rn. 18) fehlt, weil das vom Gehilfen geförderte Tun des Haupttäters nicht allein auf die Begehung einer strafbaren Handlung abzielt und der Beitrag des Gehilfen auch ohne das strafbare Handeln des Täters für diesen sinnvoll bleibt (vgl. Schünemann aaO). (5 StR 468/12, 2014, Rn. 28)</w:t>
      </w:r>
      <w:r w:rsidRPr="00635592">
        <w:rPr>
          <w:rStyle w:val="Ancladenotaalpie"/>
          <w:rFonts w:ascii="Myriad Pro" w:hAnsi="Myriad Pro"/>
          <w:color w:val="000000"/>
          <w:sz w:val="24"/>
          <w:szCs w:val="24"/>
        </w:rPr>
        <w:footnoteReference w:id="40"/>
      </w:r>
      <w:r w:rsidRPr="00635592">
        <w:rPr>
          <w:rFonts w:ascii="Garamond" w:hAnsi="Garamond"/>
          <w:sz w:val="24"/>
          <w:szCs w:val="24"/>
          <w:lang w:val="es-ES"/>
        </w:rPr>
        <w:t xml:space="preserve"> </w:t>
      </w:r>
    </w:p>
    <w:p w14:paraId="6F92F8D5" w14:textId="77777777" w:rsidR="00635592" w:rsidRPr="00635592" w:rsidRDefault="00635592" w:rsidP="00635592">
      <w:pPr>
        <w:pStyle w:val="Textonotapie"/>
        <w:spacing w:before="200" w:after="200" w:line="276" w:lineRule="auto"/>
        <w:jc w:val="both"/>
        <w:rPr>
          <w:rFonts w:ascii="Myriad Pro" w:hAnsi="Myriad Pro" w:cs="Times New Roman"/>
          <w:sz w:val="24"/>
          <w:szCs w:val="24"/>
          <w:lang w:val="es-ES"/>
        </w:rPr>
      </w:pPr>
      <w:r w:rsidRPr="00635592">
        <w:rPr>
          <w:rFonts w:ascii="Myriad Pro" w:hAnsi="Myriad Pro"/>
          <w:sz w:val="24"/>
          <w:szCs w:val="24"/>
          <w:lang w:val="es-ES"/>
        </w:rPr>
        <w:tab/>
        <w:t>La decisión del BGH, trajo consigo también una precisión sobre el aspecto subjetivo de la teoría. Para ello, se apela nuevamente al principio de confianza, e</w:t>
      </w:r>
      <w:r w:rsidRPr="00635592">
        <w:rPr>
          <w:rFonts w:ascii="Myriad Pro" w:hAnsi="Myriad Pro"/>
          <w:sz w:val="24"/>
          <w:szCs w:val="24"/>
          <w:lang w:val="es-ES"/>
        </w:rPr>
        <w:t>x</w:t>
      </w:r>
      <w:r w:rsidRPr="00635592">
        <w:rPr>
          <w:rFonts w:ascii="Myriad Pro" w:hAnsi="Myriad Pro"/>
          <w:sz w:val="24"/>
          <w:szCs w:val="24"/>
          <w:lang w:val="es-ES"/>
        </w:rPr>
        <w:t>cluyendo la posibilidad de sancionar penalmente a la simple sospecha de uso deli</w:t>
      </w:r>
      <w:r w:rsidRPr="00635592">
        <w:rPr>
          <w:rFonts w:ascii="Myriad Pro" w:hAnsi="Myriad Pro"/>
          <w:sz w:val="24"/>
          <w:szCs w:val="24"/>
          <w:lang w:val="es-ES"/>
        </w:rPr>
        <w:t>c</w:t>
      </w:r>
      <w:r w:rsidRPr="00635592">
        <w:rPr>
          <w:rFonts w:ascii="Myriad Pro" w:hAnsi="Myriad Pro"/>
          <w:sz w:val="24"/>
          <w:szCs w:val="24"/>
          <w:lang w:val="es-ES"/>
        </w:rPr>
        <w:t xml:space="preserve">tual de las acciones cotidianas o socialmente no indeseadas. </w:t>
      </w:r>
      <w:r w:rsidRPr="00635592">
        <w:rPr>
          <w:rFonts w:ascii="Myriad Pro" w:hAnsi="Myriad Pro" w:cs="Times New Roman"/>
          <w:sz w:val="24"/>
          <w:szCs w:val="24"/>
          <w:lang w:val="es-ES"/>
        </w:rPr>
        <w:t xml:space="preserve">El criterio desarrollado por el BGH en dicho sentido, afirma textualmente que: </w:t>
      </w:r>
    </w:p>
    <w:p w14:paraId="7460EA1A" w14:textId="77777777" w:rsidR="00635592" w:rsidRPr="00635592" w:rsidRDefault="00635592" w:rsidP="00635592">
      <w:pPr>
        <w:pStyle w:val="Textonotapie"/>
        <w:spacing w:before="200" w:after="200"/>
        <w:ind w:left="1134"/>
        <w:jc w:val="both"/>
        <w:rPr>
          <w:rFonts w:ascii="Myriad Pro" w:hAnsi="Myriad Pro" w:cs="Times New Roman"/>
          <w:sz w:val="24"/>
          <w:szCs w:val="24"/>
        </w:rPr>
      </w:pPr>
      <w:r w:rsidRPr="00635592">
        <w:rPr>
          <w:rFonts w:ascii="Myriad Pro" w:hAnsi="Myriad Pro"/>
          <w:sz w:val="24"/>
          <w:szCs w:val="24"/>
        </w:rPr>
        <w:t>Subjektiv besteht insoweit Anlass zu einer Begrenzung der Beihilfe</w:t>
      </w:r>
      <w:r w:rsidRPr="00635592">
        <w:rPr>
          <w:rFonts w:ascii="Myriad Pro" w:hAnsi="Myriad Pro"/>
          <w:sz w:val="24"/>
          <w:szCs w:val="24"/>
        </w:rPr>
        <w:t>s</w:t>
      </w:r>
      <w:r w:rsidRPr="00635592">
        <w:rPr>
          <w:rFonts w:ascii="Myriad Pro" w:hAnsi="Myriad Pro"/>
          <w:sz w:val="24"/>
          <w:szCs w:val="24"/>
        </w:rPr>
        <w:t>trafbarkeit, als der Außenstehende eine deliktische Verwendung seines Beitrags durch den Täter zwar für möglich hält – also mit dolus eventualis handelt – aufgrund des Alltagscharakters seines Tuns aber darauf ve</w:t>
      </w:r>
      <w:r w:rsidRPr="00635592">
        <w:rPr>
          <w:rFonts w:ascii="Myriad Pro" w:hAnsi="Myriad Pro"/>
          <w:sz w:val="24"/>
          <w:szCs w:val="24"/>
        </w:rPr>
        <w:t>r</w:t>
      </w:r>
      <w:r w:rsidRPr="00635592">
        <w:rPr>
          <w:rFonts w:ascii="Myriad Pro" w:hAnsi="Myriad Pro"/>
          <w:sz w:val="24"/>
          <w:szCs w:val="24"/>
        </w:rPr>
        <w:t>trauen darf, dass der andere dieses nicht zur Begehung einer vorsätzl</w:t>
      </w:r>
      <w:r w:rsidRPr="00635592">
        <w:rPr>
          <w:rFonts w:ascii="Myriad Pro" w:hAnsi="Myriad Pro"/>
          <w:sz w:val="24"/>
          <w:szCs w:val="24"/>
        </w:rPr>
        <w:t>i</w:t>
      </w:r>
      <w:r w:rsidRPr="00635592">
        <w:rPr>
          <w:rFonts w:ascii="Myriad Pro" w:hAnsi="Myriad Pro"/>
          <w:sz w:val="24"/>
          <w:szCs w:val="24"/>
        </w:rPr>
        <w:t>chen Straftat ausnutzen wird (vgl. Schünemann aaO Rn. 19; näher zum Vertrauensgrundsatz Roxin, FS Tröndle, 1989, S. 177). Indem der Bunde</w:t>
      </w:r>
      <w:r w:rsidRPr="00635592">
        <w:rPr>
          <w:rFonts w:ascii="Myriad Pro" w:hAnsi="Myriad Pro"/>
          <w:sz w:val="24"/>
          <w:szCs w:val="24"/>
        </w:rPr>
        <w:t>s</w:t>
      </w:r>
      <w:r w:rsidRPr="00635592">
        <w:rPr>
          <w:rFonts w:ascii="Myriad Pro" w:hAnsi="Myriad Pro"/>
          <w:sz w:val="24"/>
          <w:szCs w:val="24"/>
        </w:rPr>
        <w:t>gerichtshof in den Fällen, in denen der Hilfeleistende nicht weiß, wie der von ihm geleistete Beitrag vom Haupttäter verwendet wird, die Strafba</w:t>
      </w:r>
      <w:r w:rsidRPr="00635592">
        <w:rPr>
          <w:rFonts w:ascii="Myriad Pro" w:hAnsi="Myriad Pro"/>
          <w:sz w:val="24"/>
          <w:szCs w:val="24"/>
        </w:rPr>
        <w:t>r</w:t>
      </w:r>
      <w:r w:rsidRPr="00635592">
        <w:rPr>
          <w:rFonts w:ascii="Myriad Pro" w:hAnsi="Myriad Pro"/>
          <w:sz w:val="24"/>
          <w:szCs w:val="24"/>
        </w:rPr>
        <w:t>keit davon abhängig macht, ob das vom Hilfeleistenden erkannte Risiko strafbaren Verhaltens des von ihm Unterstützten derart hoch ist, dass er sich mit seiner Hilfeleistung die Förderung eines erkennbar tatgeneigten Täters angelegen sein lässt, wird sichergestellt, dass sich niemand durch bloße Mutmaßungen über die Möglichkeit einer strafbaren Verwendung von alltäglichen, sozial nicht unerwünschten Handlungen abhalten lassen muss. (5 StR 468/12, 2014, Rn. 29)</w:t>
      </w:r>
      <w:r w:rsidRPr="00635592">
        <w:rPr>
          <w:rStyle w:val="Ancladenotaalpie"/>
          <w:rFonts w:ascii="Garamond" w:hAnsi="Garamond"/>
          <w:color w:val="000000"/>
          <w:sz w:val="24"/>
          <w:szCs w:val="24"/>
        </w:rPr>
        <w:t xml:space="preserve"> </w:t>
      </w:r>
      <w:r w:rsidRPr="00635592">
        <w:rPr>
          <w:rStyle w:val="Ancladenotaalpie"/>
          <w:rFonts w:ascii="Myriad Pro" w:hAnsi="Myriad Pro"/>
          <w:color w:val="000000"/>
          <w:sz w:val="24"/>
          <w:szCs w:val="24"/>
        </w:rPr>
        <w:footnoteReference w:id="41"/>
      </w:r>
    </w:p>
    <w:p w14:paraId="4501E8D9" w14:textId="77777777" w:rsidR="00635592" w:rsidRPr="00635592" w:rsidRDefault="00635592" w:rsidP="00635592">
      <w:pPr>
        <w:pStyle w:val="Textonotapie"/>
        <w:spacing w:before="200" w:after="200" w:line="276" w:lineRule="auto"/>
        <w:jc w:val="both"/>
        <w:rPr>
          <w:rFonts w:ascii="Garamond" w:hAnsi="Garamond"/>
          <w:sz w:val="24"/>
          <w:szCs w:val="24"/>
          <w:lang w:val="es-ES"/>
        </w:rPr>
      </w:pPr>
      <w:r w:rsidRPr="00635592">
        <w:rPr>
          <w:rFonts w:ascii="Myriad Pro" w:hAnsi="Myriad Pro" w:cs="Times New Roman"/>
          <w:sz w:val="24"/>
          <w:szCs w:val="24"/>
          <w:lang w:val="es-ES"/>
        </w:rPr>
        <w:tab/>
        <w:t xml:space="preserve">El BGH renuncia citar a </w:t>
      </w:r>
      <w:r w:rsidRPr="00635592">
        <w:rPr>
          <w:rFonts w:ascii="Myriad Pro" w:hAnsi="Myriad Pro"/>
          <w:sz w:val="24"/>
          <w:szCs w:val="24"/>
        </w:rPr>
        <w:t>Amelung (1999, p. 26)</w:t>
      </w:r>
      <w:r w:rsidRPr="00635592">
        <w:rPr>
          <w:rFonts w:ascii="Myriad Pro" w:hAnsi="Myriad Pro" w:cs="Times New Roman"/>
          <w:sz w:val="24"/>
          <w:szCs w:val="24"/>
          <w:lang w:val="es-ES"/>
        </w:rPr>
        <w:t>, quien formuló y desarrolló este criterio, distinguiendo entre la asunción de un riesgo de resultado concreto y la asunción de un riesgo abstracto del asunto</w:t>
      </w:r>
      <w:r w:rsidRPr="00635592">
        <w:rPr>
          <w:rStyle w:val="Refdenotaalpie"/>
          <w:rFonts w:ascii="Myriad Pro" w:hAnsi="Myriad Pro" w:cs="Times New Roman"/>
          <w:sz w:val="24"/>
          <w:szCs w:val="24"/>
          <w:lang w:val="es-ES"/>
        </w:rPr>
        <w:footnoteReference w:id="42"/>
      </w:r>
      <w:r w:rsidRPr="00635592">
        <w:rPr>
          <w:rFonts w:ascii="Myriad Pro" w:hAnsi="Myriad Pro" w:cs="Times New Roman"/>
          <w:sz w:val="24"/>
          <w:szCs w:val="24"/>
          <w:lang w:val="es-ES"/>
        </w:rPr>
        <w:t>.</w:t>
      </w:r>
      <w:r w:rsidRPr="00635592">
        <w:rPr>
          <w:rFonts w:ascii="Myriad Pro" w:hAnsi="Myriad Pro" w:cs="Times New Roman"/>
          <w:sz w:val="24"/>
          <w:szCs w:val="24"/>
        </w:rPr>
        <w:t xml:space="preserve"> </w:t>
      </w:r>
    </w:p>
    <w:p w14:paraId="754E9AFB" w14:textId="77777777" w:rsidR="00635592" w:rsidRDefault="00635592" w:rsidP="008B1EED">
      <w:pPr>
        <w:widowControl w:val="0"/>
        <w:spacing w:after="0" w:line="240" w:lineRule="auto"/>
        <w:jc w:val="both"/>
        <w:rPr>
          <w:rFonts w:ascii="Myriad Pro" w:hAnsi="Myriad Pro"/>
          <w:sz w:val="24"/>
          <w:szCs w:val="24"/>
          <w:lang w:val="es-ES"/>
        </w:rPr>
      </w:pPr>
      <w:r w:rsidRPr="00635592">
        <w:rPr>
          <w:rFonts w:ascii="Myriad Pro" w:hAnsi="Myriad Pro"/>
          <w:sz w:val="24"/>
          <w:szCs w:val="24"/>
          <w:lang w:val="es-ES"/>
        </w:rPr>
        <w:lastRenderedPageBreak/>
        <w:tab/>
        <w:t>Dado que la función de la judicatura no es la de resolver una disputa dogm</w:t>
      </w:r>
      <w:r w:rsidRPr="00635592">
        <w:rPr>
          <w:rFonts w:ascii="Myriad Pro" w:hAnsi="Myriad Pro"/>
          <w:sz w:val="24"/>
          <w:szCs w:val="24"/>
          <w:lang w:val="es-ES"/>
        </w:rPr>
        <w:t>á</w:t>
      </w:r>
      <w:r w:rsidRPr="00635592">
        <w:rPr>
          <w:rFonts w:ascii="Myriad Pro" w:hAnsi="Myriad Pro"/>
          <w:sz w:val="24"/>
          <w:szCs w:val="24"/>
          <w:lang w:val="es-ES"/>
        </w:rPr>
        <w:t>tica refiriéndose a todo el ámbito de las propuestas teóricas que se han pronunciado sobre ella, no puede ser objeto de crítica el hecho de que en las referidas sentencias se realice una revisión insatisfactoria de todas las propuestas. Al contrario, resulta criticable que el BGH realice una referencia superficial a los criterios más reconocidos en la materia sin hacer una real reflexión en relación con la aplicabilidad de ellos a su línea argumental, asumiendo que simplemente puede ir sumando criterios diversos sin la necesaria implicación de ellos a su construcción teórica. Por ejemplo, cuando se afirma que una complicidad punible excluye a una acción adecuada socialmente o neutral, sin siquiera referirse a lo qué se entiende bajo dichas categorías teóricas (</w:t>
      </w:r>
      <w:r w:rsidRPr="00635592">
        <w:rPr>
          <w:rFonts w:ascii="Myriad Pro" w:hAnsi="Myriad Pro"/>
          <w:sz w:val="24"/>
          <w:szCs w:val="24"/>
        </w:rPr>
        <w:t>5 StR 624/99, 2000; Kudlich</w:t>
      </w:r>
      <w:r w:rsidRPr="00635592">
        <w:rPr>
          <w:rFonts w:ascii="Myriad Pro" w:hAnsi="Myriad Pro" w:cs="Calibri (Cuerpo en alfabeto com"/>
          <w:smallCaps/>
          <w:sz w:val="24"/>
          <w:szCs w:val="24"/>
        </w:rPr>
        <w:t xml:space="preserve">, 2004, </w:t>
      </w:r>
      <w:r w:rsidRPr="00635592">
        <w:rPr>
          <w:rFonts w:ascii="Myriad Pro" w:hAnsi="Myriad Pro"/>
          <w:sz w:val="24"/>
          <w:szCs w:val="24"/>
        </w:rPr>
        <w:t>p. 135)</w:t>
      </w:r>
      <w:r w:rsidRPr="00635592">
        <w:rPr>
          <w:rFonts w:ascii="Myriad Pro" w:hAnsi="Myriad Pro"/>
          <w:sz w:val="24"/>
          <w:szCs w:val="24"/>
          <w:lang w:val="es-ES"/>
        </w:rPr>
        <w:t>. En relación con el contenido contradictorio del criterio, son aplicables las mismas críticas que fueron formuladas en contra de la teoría de Roxin</w:t>
      </w:r>
      <w:r w:rsidRPr="00635592">
        <w:rPr>
          <w:rStyle w:val="Ancladenotaalpie"/>
          <w:rFonts w:ascii="Myriad Pro" w:hAnsi="Myriad Pro"/>
          <w:sz w:val="24"/>
          <w:szCs w:val="24"/>
        </w:rPr>
        <w:footnoteReference w:id="43"/>
      </w:r>
      <w:r w:rsidRPr="00635592">
        <w:rPr>
          <w:rFonts w:ascii="Myriad Pro" w:hAnsi="Myriad Pro"/>
          <w:sz w:val="24"/>
          <w:szCs w:val="24"/>
          <w:lang w:val="es-ES"/>
        </w:rPr>
        <w:t xml:space="preserve">. Especial preocupación merece la posición sistemática que le es atribuida a </w:t>
      </w:r>
      <w:r w:rsidRPr="00635592">
        <w:rPr>
          <w:rFonts w:ascii="Myriad Pro" w:hAnsi="Myriad Pro"/>
          <w:i/>
          <w:sz w:val="24"/>
          <w:szCs w:val="24"/>
          <w:lang w:val="es-ES"/>
        </w:rPr>
        <w:t>la disposición reconocible al hecho</w:t>
      </w:r>
      <w:r w:rsidRPr="00635592">
        <w:rPr>
          <w:rFonts w:ascii="Myriad Pro" w:hAnsi="Myriad Pro"/>
          <w:sz w:val="24"/>
          <w:szCs w:val="24"/>
          <w:lang w:val="es-ES"/>
        </w:rPr>
        <w:t xml:space="preserve"> en el denominado “caso del concurso” (</w:t>
      </w:r>
      <w:r w:rsidRPr="00635592">
        <w:rPr>
          <w:rFonts w:ascii="Myriad Pro" w:hAnsi="Myriad Pro"/>
          <w:sz w:val="24"/>
          <w:szCs w:val="24"/>
        </w:rPr>
        <w:t>5 StR 468/12, 2014)</w:t>
      </w:r>
      <w:r w:rsidRPr="00635592">
        <w:rPr>
          <w:rFonts w:ascii="Myriad Pro" w:hAnsi="Myriad Pro"/>
          <w:sz w:val="24"/>
          <w:szCs w:val="24"/>
          <w:lang w:val="es-ES"/>
        </w:rPr>
        <w:t xml:space="preserve">, en donde se reconoce una tensión interna debido a la mezcla de un punto de vista objetivo dentro del tipo subjetivo. El concepto (objetivo) de </w:t>
      </w:r>
      <w:r w:rsidRPr="00635592">
        <w:rPr>
          <w:rFonts w:ascii="Myriad Pro" w:hAnsi="Myriad Pro"/>
          <w:i/>
          <w:sz w:val="24"/>
          <w:szCs w:val="24"/>
          <w:lang w:val="es-ES"/>
        </w:rPr>
        <w:t>disp</w:t>
      </w:r>
      <w:r w:rsidRPr="00635592">
        <w:rPr>
          <w:rFonts w:ascii="Myriad Pro" w:hAnsi="Myriad Pro"/>
          <w:i/>
          <w:sz w:val="24"/>
          <w:szCs w:val="24"/>
          <w:lang w:val="es-ES"/>
        </w:rPr>
        <w:t>o</w:t>
      </w:r>
      <w:r w:rsidRPr="00635592">
        <w:rPr>
          <w:rFonts w:ascii="Myriad Pro" w:hAnsi="Myriad Pro"/>
          <w:i/>
          <w:sz w:val="24"/>
          <w:szCs w:val="24"/>
          <w:lang w:val="es-ES"/>
        </w:rPr>
        <w:t>sición reconocible al hecho</w:t>
      </w:r>
      <w:r w:rsidRPr="00635592">
        <w:rPr>
          <w:rFonts w:ascii="Myriad Pro" w:hAnsi="Myriad Pro"/>
          <w:sz w:val="24"/>
          <w:szCs w:val="24"/>
          <w:lang w:val="es-ES"/>
        </w:rPr>
        <w:t xml:space="preserve"> aparece como límite del principio de confianza, el cual </w:t>
      </w:r>
      <w:r w:rsidRPr="00635592">
        <w:rPr>
          <w:rFonts w:ascii="Myriad Pro" w:hAnsi="Myriad Pro"/>
          <w:sz w:val="24"/>
          <w:szCs w:val="24"/>
          <w:lang w:val="es-ES_tradnl"/>
        </w:rPr>
        <w:t>—</w:t>
      </w:r>
      <w:r w:rsidRPr="00635592">
        <w:rPr>
          <w:rFonts w:ascii="Myriad Pro" w:hAnsi="Myriad Pro"/>
          <w:sz w:val="24"/>
          <w:szCs w:val="24"/>
          <w:lang w:val="es-ES"/>
        </w:rPr>
        <w:t>a su vez</w:t>
      </w:r>
      <w:r w:rsidRPr="00635592">
        <w:rPr>
          <w:rFonts w:ascii="Myriad Pro" w:hAnsi="Myriad Pro"/>
          <w:sz w:val="24"/>
          <w:szCs w:val="24"/>
          <w:lang w:val="es-ES_tradnl"/>
        </w:rPr>
        <w:t>—</w:t>
      </w:r>
      <w:r w:rsidRPr="00635592">
        <w:rPr>
          <w:rFonts w:ascii="Myriad Pro" w:hAnsi="Myriad Pro"/>
          <w:sz w:val="24"/>
          <w:szCs w:val="24"/>
          <w:lang w:val="es-ES"/>
        </w:rPr>
        <w:t xml:space="preserve"> se deja describir como límite de las acciones impunes que son cometidas con dolo eventual (Greco, 2015, p. 2). Es decir, se sigue sosteniendo la pertinencia del principio de confianza más allá de la restricción de los deberes de cuidado propios de la imprudencia, </w:t>
      </w:r>
      <w:r w:rsidRPr="0013750A">
        <w:rPr>
          <w:rFonts w:ascii="Myriad Pro" w:hAnsi="Myriad Pro"/>
          <w:sz w:val="24"/>
          <w:szCs w:val="24"/>
          <w:lang w:val="es-ES"/>
        </w:rPr>
        <w:t>llevándolo (impropiamente) al ámbito del dolo eventual.</w:t>
      </w:r>
    </w:p>
    <w:p w14:paraId="71EF99D0" w14:textId="77777777" w:rsidR="008B1EED" w:rsidRPr="00635592" w:rsidRDefault="008B1EED" w:rsidP="008B1EED">
      <w:pPr>
        <w:widowControl w:val="0"/>
        <w:spacing w:after="0" w:line="240" w:lineRule="auto"/>
        <w:jc w:val="both"/>
        <w:rPr>
          <w:rFonts w:ascii="Myriad Pro" w:hAnsi="Myriad Pro"/>
          <w:sz w:val="24"/>
          <w:szCs w:val="24"/>
          <w:highlight w:val="yellow"/>
          <w:lang w:val="es-ES"/>
        </w:rPr>
      </w:pPr>
    </w:p>
    <w:p w14:paraId="56209FDD" w14:textId="100C3EF9" w:rsidR="00ED3A51" w:rsidRPr="008B1EED" w:rsidRDefault="00ED3A51" w:rsidP="008B1EED">
      <w:pPr>
        <w:spacing w:after="0" w:line="240" w:lineRule="auto"/>
        <w:jc w:val="center"/>
        <w:rPr>
          <w:rFonts w:ascii="Myriad Pro" w:hAnsi="Myriad Pro"/>
          <w:b/>
          <w:sz w:val="28"/>
          <w:szCs w:val="28"/>
          <w:lang w:val="es-ES"/>
        </w:rPr>
      </w:pPr>
      <w:r w:rsidRPr="008B1EED">
        <w:rPr>
          <w:rFonts w:ascii="Myriad Pro" w:hAnsi="Myriad Pro"/>
          <w:b/>
          <w:sz w:val="28"/>
          <w:szCs w:val="28"/>
          <w:lang w:val="es-ES"/>
        </w:rPr>
        <w:t xml:space="preserve">1.4. </w:t>
      </w:r>
      <w:r w:rsidR="0013750A" w:rsidRPr="008B1EED">
        <w:rPr>
          <w:rFonts w:ascii="Myriad Pro" w:hAnsi="Myriad Pro"/>
          <w:b/>
          <w:sz w:val="28"/>
          <w:szCs w:val="28"/>
          <w:lang w:val="es-ES"/>
        </w:rPr>
        <w:t>Restricciones del tipo subjetivo</w:t>
      </w:r>
    </w:p>
    <w:p w14:paraId="0FECC723" w14:textId="77777777" w:rsidR="008B1EED" w:rsidRDefault="008B1EED" w:rsidP="008B1EED">
      <w:pPr>
        <w:spacing w:after="0" w:line="240" w:lineRule="auto"/>
        <w:jc w:val="both"/>
        <w:rPr>
          <w:rFonts w:ascii="Myriad Pro" w:hAnsi="Myriad Pro"/>
          <w:sz w:val="24"/>
          <w:szCs w:val="24"/>
          <w:lang w:val="es-ES"/>
        </w:rPr>
      </w:pPr>
    </w:p>
    <w:p w14:paraId="31116722" w14:textId="252B9284" w:rsidR="0013750A" w:rsidRPr="0013750A" w:rsidRDefault="0013750A" w:rsidP="008B1EED">
      <w:pPr>
        <w:spacing w:after="0" w:line="240" w:lineRule="auto"/>
        <w:jc w:val="both"/>
        <w:rPr>
          <w:rFonts w:ascii="Myriad Pro" w:hAnsi="Myriad Pro"/>
          <w:sz w:val="24"/>
          <w:szCs w:val="24"/>
          <w:lang w:val="es-ES"/>
        </w:rPr>
      </w:pPr>
      <w:r>
        <w:rPr>
          <w:rFonts w:ascii="Myriad Pro" w:hAnsi="Myriad Pro"/>
          <w:sz w:val="24"/>
          <w:szCs w:val="24"/>
          <w:lang w:val="es-ES"/>
        </w:rPr>
        <w:tab/>
      </w:r>
      <w:r w:rsidRPr="0013750A">
        <w:rPr>
          <w:rFonts w:ascii="Myriad Pro" w:hAnsi="Myriad Pro"/>
          <w:sz w:val="24"/>
          <w:szCs w:val="24"/>
          <w:lang w:val="es-ES"/>
        </w:rPr>
        <w:t>Quienes favorecen una solución restrictiva de la punibilidad para estas acci</w:t>
      </w:r>
      <w:r w:rsidRPr="0013750A">
        <w:rPr>
          <w:rFonts w:ascii="Myriad Pro" w:hAnsi="Myriad Pro"/>
          <w:sz w:val="24"/>
          <w:szCs w:val="24"/>
          <w:lang w:val="es-ES"/>
        </w:rPr>
        <w:t>o</w:t>
      </w:r>
      <w:r w:rsidRPr="0013750A">
        <w:rPr>
          <w:rFonts w:ascii="Myriad Pro" w:hAnsi="Myriad Pro"/>
          <w:sz w:val="24"/>
          <w:szCs w:val="24"/>
          <w:lang w:val="es-ES"/>
        </w:rPr>
        <w:t>nes en el nivel del tipo subjetivo, critican a su vez a las propuestas precedentes que restringen el tipo objetivo del cómplice, dado que ellas pueden llevar consigo una consecuencia indeseada: excluir del ámbito de la punibilidad de la complicidad a las colaboraciones conscientes para la comisión de delitos mediante actos profesionales (Amelung, 1999, p. 17). Es decir, un filtro a nivel de tipicidad objetiva impide que s</w:t>
      </w:r>
      <w:r w:rsidRPr="0013750A">
        <w:rPr>
          <w:rFonts w:ascii="Myriad Pro" w:hAnsi="Myriad Pro"/>
          <w:sz w:val="24"/>
          <w:szCs w:val="24"/>
          <w:lang w:val="es-ES"/>
        </w:rPr>
        <w:t>i</w:t>
      </w:r>
      <w:r w:rsidRPr="0013750A">
        <w:rPr>
          <w:rFonts w:ascii="Myriad Pro" w:hAnsi="Myriad Pro"/>
          <w:sz w:val="24"/>
          <w:szCs w:val="24"/>
          <w:lang w:val="es-ES"/>
        </w:rPr>
        <w:t>quiera se analice este tipo de colaboraciones conscientes, lo que resultaría injustif</w:t>
      </w:r>
      <w:r w:rsidRPr="0013750A">
        <w:rPr>
          <w:rFonts w:ascii="Myriad Pro" w:hAnsi="Myriad Pro"/>
          <w:sz w:val="24"/>
          <w:szCs w:val="24"/>
          <w:lang w:val="es-ES"/>
        </w:rPr>
        <w:t>i</w:t>
      </w:r>
      <w:r w:rsidRPr="0013750A">
        <w:rPr>
          <w:rFonts w:ascii="Myriad Pro" w:hAnsi="Myriad Pro"/>
          <w:sz w:val="24"/>
          <w:szCs w:val="24"/>
          <w:lang w:val="es-ES"/>
        </w:rPr>
        <w:t xml:space="preserve">cado. Ello explicaría, por qué se hacía </w:t>
      </w:r>
      <w:r w:rsidRPr="0013750A">
        <w:rPr>
          <w:rFonts w:ascii="Myriad Pro" w:hAnsi="Myriad Pro"/>
          <w:sz w:val="24"/>
          <w:szCs w:val="24"/>
          <w:lang w:val="es-ES_tradnl"/>
        </w:rPr>
        <w:t>—</w:t>
      </w:r>
      <w:r w:rsidRPr="0013750A">
        <w:rPr>
          <w:rFonts w:ascii="Myriad Pro" w:hAnsi="Myriad Pro"/>
          <w:sz w:val="24"/>
          <w:szCs w:val="24"/>
          <w:lang w:val="es-ES"/>
        </w:rPr>
        <w:t>en una primera fase de la jurisprudencia</w:t>
      </w:r>
      <w:r w:rsidRPr="0013750A">
        <w:rPr>
          <w:rFonts w:ascii="Myriad Pro" w:hAnsi="Myriad Pro"/>
          <w:sz w:val="24"/>
          <w:szCs w:val="24"/>
          <w:lang w:val="es-ES_tradnl"/>
        </w:rPr>
        <w:t>—</w:t>
      </w:r>
      <w:r w:rsidRPr="0013750A">
        <w:rPr>
          <w:rFonts w:ascii="Myriad Pro" w:hAnsi="Myriad Pro"/>
          <w:sz w:val="24"/>
          <w:szCs w:val="24"/>
          <w:lang w:val="es-ES"/>
        </w:rPr>
        <w:t xml:space="preserve"> una diferenciación entre dolo eventual y dolo directo. Sin embargo, ese dolo directo no se refería al conocimiento de quien realiza la acción, sino que a un elemento su</w:t>
      </w:r>
      <w:r w:rsidRPr="0013750A">
        <w:rPr>
          <w:rFonts w:ascii="Myriad Pro" w:hAnsi="Myriad Pro"/>
          <w:sz w:val="24"/>
          <w:szCs w:val="24"/>
          <w:lang w:val="es-ES"/>
        </w:rPr>
        <w:t>b</w:t>
      </w:r>
      <w:r w:rsidRPr="0013750A">
        <w:rPr>
          <w:rFonts w:ascii="Myriad Pro" w:hAnsi="Myriad Pro"/>
          <w:sz w:val="24"/>
          <w:szCs w:val="24"/>
          <w:lang w:val="es-ES"/>
        </w:rPr>
        <w:t>jetivo del tipo referido a la supuesta voluntad orientada hacia fines legales o a la a</w:t>
      </w:r>
      <w:r w:rsidRPr="0013750A">
        <w:rPr>
          <w:rFonts w:ascii="Myriad Pro" w:hAnsi="Myriad Pro"/>
          <w:sz w:val="24"/>
          <w:szCs w:val="24"/>
          <w:lang w:val="es-ES"/>
        </w:rPr>
        <w:t>u</w:t>
      </w:r>
      <w:r w:rsidRPr="0013750A">
        <w:rPr>
          <w:rFonts w:ascii="Myriad Pro" w:hAnsi="Myriad Pro"/>
          <w:sz w:val="24"/>
          <w:szCs w:val="24"/>
          <w:lang w:val="es-ES"/>
        </w:rPr>
        <w:t xml:space="preserve">sencia de la así denominada </w:t>
      </w:r>
      <w:r w:rsidRPr="0013750A">
        <w:rPr>
          <w:rFonts w:ascii="Myriad Pro" w:hAnsi="Myriad Pro"/>
          <w:i/>
          <w:sz w:val="24"/>
          <w:szCs w:val="24"/>
          <w:lang w:val="es-ES"/>
        </w:rPr>
        <w:t>voluntad de colaboración</w:t>
      </w:r>
      <w:r w:rsidRPr="0013750A">
        <w:rPr>
          <w:rFonts w:ascii="Myriad Pro" w:hAnsi="Myriad Pro"/>
          <w:sz w:val="24"/>
          <w:szCs w:val="24"/>
          <w:lang w:val="es-ES"/>
        </w:rPr>
        <w:t>.</w:t>
      </w:r>
      <w:r w:rsidRPr="0013750A">
        <w:rPr>
          <w:rFonts w:ascii="Myriad Pro" w:hAnsi="Myriad Pro"/>
          <w:sz w:val="24"/>
          <w:szCs w:val="24"/>
        </w:rPr>
        <w:t xml:space="preserve"> Un buen ejemplo en dicho sentido, se encuentra en RGSt 37, 321 y OLG Düsseldorf</w:t>
      </w:r>
      <w:r w:rsidRPr="0013750A">
        <w:rPr>
          <w:rStyle w:val="Refdenotaalpie"/>
          <w:rFonts w:ascii="Myriad Pro" w:hAnsi="Myriad Pro"/>
          <w:sz w:val="24"/>
          <w:szCs w:val="24"/>
        </w:rPr>
        <w:footnoteReference w:id="44"/>
      </w:r>
      <w:r w:rsidRPr="0013750A">
        <w:rPr>
          <w:rFonts w:ascii="Myriad Pro" w:hAnsi="Myriad Pro"/>
          <w:sz w:val="24"/>
          <w:szCs w:val="24"/>
        </w:rPr>
        <w:t xml:space="preserve"> del 6 de septiembre de 1983  (citado en Hruschka, 1984, p. 261). En el primer caso la acción se encuentra, de acuerdo a la argumentación del RG, es decir “en el cumplimiento de un deber prof</w:t>
      </w:r>
      <w:r w:rsidRPr="0013750A">
        <w:rPr>
          <w:rFonts w:ascii="Myriad Pro" w:hAnsi="Myriad Pro"/>
          <w:sz w:val="24"/>
          <w:szCs w:val="24"/>
        </w:rPr>
        <w:t>e</w:t>
      </w:r>
      <w:r w:rsidRPr="0013750A">
        <w:rPr>
          <w:rFonts w:ascii="Myriad Pro" w:hAnsi="Myriad Pro"/>
          <w:sz w:val="24"/>
          <w:szCs w:val="24"/>
        </w:rPr>
        <w:t>sional del abogado</w:t>
      </w:r>
      <w:r w:rsidRPr="0013750A">
        <w:rPr>
          <w:rFonts w:ascii="Myriad Pro" w:hAnsi="Myriad Pro"/>
          <w:bCs/>
          <w:iCs/>
          <w:sz w:val="24"/>
          <w:szCs w:val="24"/>
          <w:lang w:val="es-ES"/>
        </w:rPr>
        <w:t xml:space="preserve">” </w:t>
      </w:r>
      <w:r w:rsidRPr="0013750A">
        <w:rPr>
          <w:rFonts w:ascii="Myriad Pro" w:hAnsi="Myriad Pro"/>
          <w:sz w:val="24"/>
          <w:szCs w:val="24"/>
        </w:rPr>
        <w:t xml:space="preserve"> (Kudlich, </w:t>
      </w:r>
      <w:r w:rsidRPr="0013750A">
        <w:rPr>
          <w:rFonts w:ascii="Myriad Pro" w:hAnsi="Myriad Pro" w:cs="Calibri (Cuerpo en alfabeto com"/>
          <w:smallCaps/>
          <w:sz w:val="24"/>
          <w:szCs w:val="24"/>
        </w:rPr>
        <w:t xml:space="preserve">2004, </w:t>
      </w:r>
      <w:r w:rsidRPr="0013750A">
        <w:rPr>
          <w:rFonts w:ascii="Myriad Pro" w:hAnsi="Myriad Pro"/>
          <w:sz w:val="24"/>
          <w:szCs w:val="24"/>
        </w:rPr>
        <w:t>p</w:t>
      </w:r>
      <w:r w:rsidRPr="0013750A">
        <w:rPr>
          <w:rFonts w:ascii="Myriad Pro" w:hAnsi="Myriad Pro" w:cs="Calibri (Cuerpo en alfabeto com"/>
          <w:smallCaps/>
          <w:sz w:val="24"/>
          <w:szCs w:val="24"/>
        </w:rPr>
        <w:t xml:space="preserve">. </w:t>
      </w:r>
      <w:r w:rsidRPr="0013750A">
        <w:rPr>
          <w:rFonts w:ascii="Myriad Pro" w:hAnsi="Myriad Pro"/>
          <w:sz w:val="24"/>
          <w:szCs w:val="24"/>
        </w:rPr>
        <w:t xml:space="preserve">139 y ss.).  </w:t>
      </w:r>
    </w:p>
    <w:p w14:paraId="5FBB5FE9" w14:textId="325B4769" w:rsidR="0013750A" w:rsidRDefault="0013750A" w:rsidP="0013750A">
      <w:pPr>
        <w:pStyle w:val="Textonotapie"/>
        <w:spacing w:before="200" w:after="200" w:line="276" w:lineRule="auto"/>
        <w:contextualSpacing/>
        <w:jc w:val="both"/>
        <w:rPr>
          <w:rFonts w:ascii="Myriad Pro" w:hAnsi="Myriad Pro" w:cs="Times New Roman"/>
          <w:sz w:val="24"/>
          <w:szCs w:val="24"/>
        </w:rPr>
      </w:pPr>
      <w:r w:rsidRPr="0013750A">
        <w:rPr>
          <w:rFonts w:ascii="Myriad Pro" w:hAnsi="Myriad Pro"/>
          <w:sz w:val="24"/>
          <w:szCs w:val="24"/>
          <w:lang w:val="es-ES"/>
        </w:rPr>
        <w:tab/>
        <w:t>Las propuestas expuestas en el presente apartado tienen en común un ma</w:t>
      </w:r>
      <w:r w:rsidRPr="0013750A">
        <w:rPr>
          <w:rFonts w:ascii="Myriad Pro" w:hAnsi="Myriad Pro"/>
          <w:sz w:val="24"/>
          <w:szCs w:val="24"/>
          <w:lang w:val="es-ES"/>
        </w:rPr>
        <w:t>r</w:t>
      </w:r>
      <w:r w:rsidRPr="0013750A">
        <w:rPr>
          <w:rFonts w:ascii="Myriad Pro" w:hAnsi="Myriad Pro"/>
          <w:sz w:val="24"/>
          <w:szCs w:val="24"/>
          <w:lang w:val="es-ES"/>
        </w:rPr>
        <w:t>cado acento en criterios restrictivos de carácter subjetivos, pese a que –excepcionalmente– pueden reconocer una restricción del tipo objetivo –p</w:t>
      </w:r>
      <w:r w:rsidRPr="0013750A">
        <w:rPr>
          <w:rFonts w:ascii="Myriad Pro" w:hAnsi="Myriad Pro"/>
          <w:sz w:val="24"/>
          <w:szCs w:val="24"/>
        </w:rPr>
        <w:t xml:space="preserve">ese a que Kudlich (2004, p. 448 y ss.) sigue el criterio de Otto (1998), él propone restricciones </w:t>
      </w:r>
      <w:r w:rsidRPr="0013750A">
        <w:rPr>
          <w:rFonts w:ascii="Myriad Pro" w:hAnsi="Myriad Pro"/>
          <w:sz w:val="24"/>
          <w:szCs w:val="24"/>
        </w:rPr>
        <w:lastRenderedPageBreak/>
        <w:t xml:space="preserve">objetivas marginales como los serían </w:t>
      </w:r>
      <w:r w:rsidRPr="0013750A">
        <w:rPr>
          <w:rFonts w:ascii="Myriad Pro" w:hAnsi="Myriad Pro"/>
          <w:bCs/>
          <w:iCs/>
          <w:sz w:val="24"/>
          <w:szCs w:val="24"/>
          <w:lang w:val="es-ES"/>
        </w:rPr>
        <w:t>“</w:t>
      </w:r>
      <w:r w:rsidRPr="0013750A">
        <w:rPr>
          <w:rFonts w:ascii="Myriad Pro" w:hAnsi="Myriad Pro"/>
          <w:sz w:val="24"/>
          <w:szCs w:val="24"/>
        </w:rPr>
        <w:t>la vinculación arbitraria con el hecho post</w:t>
      </w:r>
      <w:r w:rsidRPr="0013750A">
        <w:rPr>
          <w:rFonts w:ascii="Myriad Pro" w:hAnsi="Myriad Pro"/>
          <w:sz w:val="24"/>
          <w:szCs w:val="24"/>
        </w:rPr>
        <w:t>e</w:t>
      </w:r>
      <w:r w:rsidRPr="0013750A">
        <w:rPr>
          <w:rFonts w:ascii="Myriad Pro" w:hAnsi="Myriad Pro"/>
          <w:sz w:val="24"/>
          <w:szCs w:val="24"/>
        </w:rPr>
        <w:t>rior</w:t>
      </w:r>
      <w:r w:rsidRPr="0013750A">
        <w:rPr>
          <w:rFonts w:ascii="Myriad Pro" w:hAnsi="Myriad Pro"/>
          <w:bCs/>
          <w:iCs/>
          <w:sz w:val="24"/>
          <w:szCs w:val="24"/>
          <w:lang w:val="es-ES"/>
        </w:rPr>
        <w:t>”</w:t>
      </w:r>
      <w:r w:rsidRPr="0013750A">
        <w:rPr>
          <w:rFonts w:ascii="Myriad Pro" w:hAnsi="Myriad Pro"/>
          <w:sz w:val="24"/>
          <w:szCs w:val="24"/>
        </w:rPr>
        <w:t xml:space="preserve"> y </w:t>
      </w:r>
      <w:r w:rsidRPr="0013750A">
        <w:rPr>
          <w:rFonts w:ascii="Myriad Pro" w:hAnsi="Myriad Pro"/>
          <w:bCs/>
          <w:iCs/>
          <w:sz w:val="24"/>
          <w:szCs w:val="24"/>
          <w:lang w:val="es-ES"/>
        </w:rPr>
        <w:t>“</w:t>
      </w:r>
      <w:r w:rsidRPr="0013750A">
        <w:rPr>
          <w:rFonts w:ascii="Myriad Pro" w:hAnsi="Myriad Pro"/>
          <w:sz w:val="24"/>
          <w:szCs w:val="24"/>
        </w:rPr>
        <w:t>la competencia especial</w:t>
      </w:r>
      <w:r w:rsidRPr="0013750A">
        <w:rPr>
          <w:rFonts w:ascii="Myriad Pro" w:hAnsi="Myriad Pro"/>
          <w:bCs/>
          <w:iCs/>
          <w:sz w:val="24"/>
          <w:szCs w:val="24"/>
          <w:lang w:val="es-ES"/>
        </w:rPr>
        <w:t>”–</w:t>
      </w:r>
      <w:r w:rsidRPr="0013750A">
        <w:rPr>
          <w:rFonts w:ascii="Myriad Pro" w:hAnsi="Myriad Pro"/>
          <w:sz w:val="24"/>
          <w:szCs w:val="24"/>
          <w:lang w:val="es-ES"/>
        </w:rPr>
        <w:t>, por ejemplo, Otto (1998) y Amelung (1999) afi</w:t>
      </w:r>
      <w:r w:rsidRPr="0013750A">
        <w:rPr>
          <w:rFonts w:ascii="Myriad Pro" w:hAnsi="Myriad Pro"/>
          <w:sz w:val="24"/>
          <w:szCs w:val="24"/>
          <w:lang w:val="es-ES"/>
        </w:rPr>
        <w:t>r</w:t>
      </w:r>
      <w:r w:rsidRPr="0013750A">
        <w:rPr>
          <w:rFonts w:ascii="Myriad Pro" w:hAnsi="Myriad Pro"/>
          <w:sz w:val="24"/>
          <w:szCs w:val="24"/>
          <w:lang w:val="es-ES"/>
        </w:rPr>
        <w:t>man que las necesidades básicas de carácter existencial deben ser excluidas del co</w:t>
      </w:r>
      <w:r w:rsidRPr="0013750A">
        <w:rPr>
          <w:rFonts w:ascii="Myriad Pro" w:hAnsi="Myriad Pro"/>
          <w:sz w:val="24"/>
          <w:szCs w:val="24"/>
          <w:lang w:val="es-ES"/>
        </w:rPr>
        <w:t>n</w:t>
      </w:r>
      <w:r w:rsidRPr="0013750A">
        <w:rPr>
          <w:rFonts w:ascii="Myriad Pro" w:hAnsi="Myriad Pro"/>
          <w:sz w:val="24"/>
          <w:szCs w:val="24"/>
          <w:lang w:val="es-ES"/>
        </w:rPr>
        <w:t xml:space="preserve">cepto de colaboración, </w:t>
      </w:r>
      <w:r w:rsidRPr="0013750A">
        <w:rPr>
          <w:rFonts w:ascii="Myriad Pro" w:hAnsi="Myriad Pro"/>
          <w:sz w:val="24"/>
          <w:szCs w:val="24"/>
        </w:rPr>
        <w:t>Kindhäuser (2007a) concuerda con ese resultado y argumenta convincentemente con el siguiente ejemplo: “So käme niemand auf den Gedanken, dass der Bäcker B dem Habilitanden H bei seiner wissenschaftlichen Karriere durch den regelmäßigen Verkauf von Brot und Brötchen Hilfe geleistet habe” (p. 366)</w:t>
      </w:r>
      <w:r w:rsidRPr="0013750A">
        <w:rPr>
          <w:rStyle w:val="Ancladenotaalpie"/>
          <w:rFonts w:ascii="Myriad Pro" w:hAnsi="Myriad Pro"/>
          <w:sz w:val="24"/>
          <w:szCs w:val="24"/>
        </w:rPr>
        <w:footnoteReference w:id="45"/>
      </w:r>
      <w:r w:rsidRPr="0013750A">
        <w:rPr>
          <w:rFonts w:ascii="Myriad Pro" w:hAnsi="Myriad Pro"/>
          <w:sz w:val="24"/>
          <w:szCs w:val="24"/>
        </w:rPr>
        <w:t xml:space="preserve">. </w:t>
      </w:r>
      <w:r w:rsidRPr="0013750A">
        <w:rPr>
          <w:rFonts w:ascii="Myriad Pro" w:hAnsi="Myriad Pro"/>
          <w:sz w:val="24"/>
          <w:szCs w:val="24"/>
          <w:lang w:val="es-ES"/>
        </w:rPr>
        <w:t>P</w:t>
      </w:r>
      <w:r w:rsidRPr="0013750A">
        <w:rPr>
          <w:rFonts w:ascii="Myriad Pro" w:hAnsi="Myriad Pro"/>
          <w:sz w:val="24"/>
          <w:szCs w:val="24"/>
          <w:lang w:val="es-ES"/>
        </w:rPr>
        <w:t>e</w:t>
      </w:r>
      <w:r w:rsidRPr="0013750A">
        <w:rPr>
          <w:rFonts w:ascii="Myriad Pro" w:hAnsi="Myriad Pro"/>
          <w:sz w:val="24"/>
          <w:szCs w:val="24"/>
          <w:lang w:val="es-ES"/>
        </w:rPr>
        <w:t xml:space="preserve">se a que ambos concuerdan en el resultado, ello responde a diversos fundamentos. Amelung (1999, p. 21) sostiene que el elemento objetivo del tipo </w:t>
      </w:r>
      <w:r w:rsidRPr="0013750A">
        <w:rPr>
          <w:rFonts w:ascii="Myriad Pro" w:hAnsi="Myriad Pro"/>
          <w:i/>
          <w:iCs/>
          <w:sz w:val="24"/>
          <w:szCs w:val="24"/>
          <w:lang w:val="es-ES"/>
        </w:rPr>
        <w:t>colaboración</w:t>
      </w:r>
      <w:r w:rsidRPr="0013750A">
        <w:rPr>
          <w:rFonts w:ascii="Myriad Pro" w:hAnsi="Myriad Pro"/>
          <w:sz w:val="24"/>
          <w:szCs w:val="24"/>
          <w:lang w:val="es-ES"/>
        </w:rPr>
        <w:t xml:space="preserve"> puede ser restringido solo excepcionalmente, dado que la existencia humana es un requis</w:t>
      </w:r>
      <w:r w:rsidRPr="0013750A">
        <w:rPr>
          <w:rFonts w:ascii="Myriad Pro" w:hAnsi="Myriad Pro"/>
          <w:sz w:val="24"/>
          <w:szCs w:val="24"/>
          <w:lang w:val="es-ES"/>
        </w:rPr>
        <w:t>i</w:t>
      </w:r>
      <w:r w:rsidRPr="0013750A">
        <w:rPr>
          <w:rFonts w:ascii="Myriad Pro" w:hAnsi="Myriad Pro"/>
          <w:sz w:val="24"/>
          <w:szCs w:val="24"/>
          <w:lang w:val="es-ES"/>
        </w:rPr>
        <w:t>to del comportamiento humano, y dicha existencia no puede ser legal o ilegal. Otto (1998, p. 217 y ss.), por su parte, refuerza dicha exclusión al afirmar que la ley no ex</w:t>
      </w:r>
      <w:r w:rsidRPr="0013750A">
        <w:rPr>
          <w:rFonts w:ascii="Myriad Pro" w:hAnsi="Myriad Pro"/>
          <w:sz w:val="24"/>
          <w:szCs w:val="24"/>
          <w:lang w:val="es-ES"/>
        </w:rPr>
        <w:t>i</w:t>
      </w:r>
      <w:r w:rsidRPr="0013750A">
        <w:rPr>
          <w:rFonts w:ascii="Myriad Pro" w:hAnsi="Myriad Pro"/>
          <w:sz w:val="24"/>
          <w:szCs w:val="24"/>
          <w:lang w:val="es-ES"/>
        </w:rPr>
        <w:t>ge aislar socialmente al delincuente, sino que prohíbe la realización de actos de col</w:t>
      </w:r>
      <w:r w:rsidRPr="0013750A">
        <w:rPr>
          <w:rFonts w:ascii="Myriad Pro" w:hAnsi="Myriad Pro"/>
          <w:sz w:val="24"/>
          <w:szCs w:val="24"/>
          <w:lang w:val="es-ES"/>
        </w:rPr>
        <w:t>a</w:t>
      </w:r>
      <w:r w:rsidRPr="0013750A">
        <w:rPr>
          <w:rFonts w:ascii="Myriad Pro" w:hAnsi="Myriad Pro"/>
          <w:sz w:val="24"/>
          <w:szCs w:val="24"/>
          <w:lang w:val="es-ES"/>
        </w:rPr>
        <w:t>boración para realizar un delito. Es por ello que otro tipo de acciones humanitarias deben ser tratadas bajo el mismo fundamento y ser excluidas del comportamiento penalmente relevante, c</w:t>
      </w:r>
      <w:r w:rsidRPr="0013750A">
        <w:rPr>
          <w:rFonts w:ascii="Myriad Pro" w:hAnsi="Myriad Pro" w:cs="Times New Roman"/>
          <w:sz w:val="24"/>
          <w:szCs w:val="24"/>
        </w:rPr>
        <w:t>oncuerda con ello también, excluyéndolo del ámbito de lo punible</w:t>
      </w:r>
      <w:r w:rsidRPr="0013750A">
        <w:rPr>
          <w:rFonts w:ascii="Myriad Pro" w:hAnsi="Myriad Pro"/>
          <w:sz w:val="24"/>
          <w:szCs w:val="24"/>
        </w:rPr>
        <w:t xml:space="preserve"> Joekcks</w:t>
      </w:r>
      <w:r w:rsidRPr="0013750A">
        <w:rPr>
          <w:rFonts w:ascii="Myriad Pro" w:hAnsi="Myriad Pro" w:cs="Times New Roman"/>
          <w:sz w:val="24"/>
          <w:szCs w:val="24"/>
        </w:rPr>
        <w:t xml:space="preserve"> (2017. </w:t>
      </w:r>
      <w:r w:rsidRPr="0013750A">
        <w:rPr>
          <w:rFonts w:ascii="Myriad Pro" w:hAnsi="Myriad Pro"/>
          <w:sz w:val="24"/>
          <w:szCs w:val="24"/>
          <w:lang w:val="es-ES_tradnl"/>
        </w:rPr>
        <w:t>§</w:t>
      </w:r>
      <w:r w:rsidRPr="0013750A">
        <w:rPr>
          <w:rFonts w:ascii="Myriad Pro" w:hAnsi="Myriad Pro"/>
          <w:sz w:val="24"/>
          <w:szCs w:val="24"/>
          <w:lang w:val="es-ES"/>
        </w:rPr>
        <w:t xml:space="preserve"> 27</w:t>
      </w:r>
      <w:r w:rsidRPr="0013750A">
        <w:rPr>
          <w:rFonts w:ascii="Myriad Pro" w:hAnsi="Myriad Pro" w:cs="Times New Roman"/>
          <w:sz w:val="24"/>
          <w:szCs w:val="24"/>
        </w:rPr>
        <w:t>, N. 90 y ss.)</w:t>
      </w:r>
      <w:r>
        <w:rPr>
          <w:rFonts w:ascii="Myriad Pro" w:hAnsi="Myriad Pro" w:cs="Times New Roman"/>
          <w:sz w:val="24"/>
          <w:szCs w:val="24"/>
        </w:rPr>
        <w:t>.</w:t>
      </w:r>
    </w:p>
    <w:p w14:paraId="71B01317" w14:textId="77777777" w:rsidR="008B1EED" w:rsidRDefault="008B1EED" w:rsidP="008B1EED">
      <w:pPr>
        <w:pStyle w:val="Textonotapie"/>
        <w:contextualSpacing/>
        <w:jc w:val="both"/>
        <w:rPr>
          <w:rFonts w:ascii="Myriad Pro" w:hAnsi="Myriad Pro" w:cs="Times New Roman"/>
          <w:sz w:val="24"/>
          <w:szCs w:val="24"/>
        </w:rPr>
      </w:pPr>
    </w:p>
    <w:p w14:paraId="25CBC07E" w14:textId="14A45F11" w:rsidR="0013750A" w:rsidRPr="008B1EED" w:rsidRDefault="0013750A" w:rsidP="008B1EED">
      <w:pPr>
        <w:spacing w:after="0" w:line="240" w:lineRule="auto"/>
        <w:rPr>
          <w:rFonts w:ascii="Myriad Pro" w:hAnsi="Myriad Pro"/>
          <w:b/>
          <w:sz w:val="24"/>
          <w:szCs w:val="24"/>
        </w:rPr>
      </w:pPr>
      <w:r w:rsidRPr="008B1EED">
        <w:rPr>
          <w:rFonts w:ascii="Myriad Pro" w:hAnsi="Myriad Pro" w:cs="Times New Roman"/>
          <w:b/>
          <w:sz w:val="24"/>
          <w:szCs w:val="24"/>
        </w:rPr>
        <w:t xml:space="preserve">1.4.1. </w:t>
      </w:r>
      <w:r w:rsidRPr="008B1EED">
        <w:rPr>
          <w:rFonts w:ascii="Myriad Pro" w:hAnsi="Myriad Pro"/>
          <w:b/>
          <w:sz w:val="24"/>
          <w:szCs w:val="24"/>
        </w:rPr>
        <w:t>El concreto punto de vista como comprensión correcta del dolo eventual</w:t>
      </w:r>
    </w:p>
    <w:p w14:paraId="0AD93DC3" w14:textId="77777777" w:rsidR="008B1EED" w:rsidRDefault="008B1EED" w:rsidP="008B1EED">
      <w:pPr>
        <w:spacing w:after="0" w:line="240" w:lineRule="auto"/>
        <w:jc w:val="both"/>
        <w:rPr>
          <w:rFonts w:ascii="Myriad Pro" w:hAnsi="Myriad Pro"/>
          <w:bCs/>
          <w:iCs/>
          <w:sz w:val="24"/>
          <w:szCs w:val="24"/>
          <w:lang w:val="es-ES"/>
        </w:rPr>
      </w:pPr>
    </w:p>
    <w:p w14:paraId="74C17F27" w14:textId="2D3DA0D2" w:rsidR="0013750A" w:rsidRDefault="0013750A" w:rsidP="0013750A">
      <w:pPr>
        <w:spacing w:before="200"/>
        <w:jc w:val="both"/>
        <w:rPr>
          <w:rFonts w:ascii="Myriad Pro" w:hAnsi="Myriad Pro"/>
          <w:bCs/>
          <w:iCs/>
          <w:sz w:val="24"/>
          <w:szCs w:val="24"/>
          <w:lang w:val="es-ES"/>
        </w:rPr>
      </w:pPr>
      <w:r>
        <w:rPr>
          <w:rFonts w:ascii="Myriad Pro" w:hAnsi="Myriad Pro"/>
          <w:bCs/>
          <w:iCs/>
          <w:sz w:val="24"/>
          <w:szCs w:val="24"/>
          <w:lang w:val="es-ES"/>
        </w:rPr>
        <w:tab/>
      </w:r>
      <w:r w:rsidRPr="0013750A">
        <w:rPr>
          <w:rFonts w:ascii="Myriad Pro" w:hAnsi="Myriad Pro"/>
          <w:bCs/>
          <w:iCs/>
          <w:sz w:val="24"/>
          <w:szCs w:val="24"/>
          <w:lang w:val="es-ES"/>
        </w:rPr>
        <w:t>Amelung (1999) favorece básicamente un tratamiento del problema en el tipo subjetivo, el cual se encuentra gobernado por el concepto de “concreto punto de vista” del dolo, como criterio delimitador entre los actos de colaboración que mer</w:t>
      </w:r>
      <w:r w:rsidRPr="0013750A">
        <w:rPr>
          <w:rFonts w:ascii="Myriad Pro" w:hAnsi="Myriad Pro"/>
          <w:bCs/>
          <w:iCs/>
          <w:sz w:val="24"/>
          <w:szCs w:val="24"/>
          <w:lang w:val="es-ES"/>
        </w:rPr>
        <w:t>e</w:t>
      </w:r>
      <w:r w:rsidRPr="0013750A">
        <w:rPr>
          <w:rFonts w:ascii="Myriad Pro" w:hAnsi="Myriad Pro"/>
          <w:bCs/>
          <w:iCs/>
          <w:sz w:val="24"/>
          <w:szCs w:val="24"/>
          <w:lang w:val="es-ES"/>
        </w:rPr>
        <w:t xml:space="preserve">cen sanción penal y aquellos que no la merecen. Kudlich (2008, p. 229; 2004, p. 338), </w:t>
      </w:r>
      <w:r w:rsidRPr="0013750A">
        <w:rPr>
          <w:rFonts w:ascii="Myriad Pro" w:hAnsi="Myriad Pro"/>
          <w:sz w:val="24"/>
          <w:szCs w:val="24"/>
        </w:rPr>
        <w:t>concuerda con un correctivo de imputación subjetivo semejante</w:t>
      </w:r>
      <w:r w:rsidRPr="0013750A">
        <w:rPr>
          <w:rFonts w:ascii="Myriad Pro" w:hAnsi="Myriad Pro"/>
          <w:bCs/>
          <w:iCs/>
          <w:sz w:val="24"/>
          <w:szCs w:val="24"/>
          <w:lang w:val="es-ES"/>
        </w:rPr>
        <w:t>. Consecuenteme</w:t>
      </w:r>
      <w:r w:rsidRPr="0013750A">
        <w:rPr>
          <w:rFonts w:ascii="Myriad Pro" w:hAnsi="Myriad Pro"/>
          <w:bCs/>
          <w:iCs/>
          <w:sz w:val="24"/>
          <w:szCs w:val="24"/>
          <w:lang w:val="es-ES"/>
        </w:rPr>
        <w:t>n</w:t>
      </w:r>
      <w:r w:rsidRPr="0013750A">
        <w:rPr>
          <w:rFonts w:ascii="Myriad Pro" w:hAnsi="Myriad Pro"/>
          <w:bCs/>
          <w:iCs/>
          <w:sz w:val="24"/>
          <w:szCs w:val="24"/>
          <w:lang w:val="es-ES"/>
        </w:rPr>
        <w:t>te, solo el concreto punto de vista del colaborador puede ser suficiente para fundar la punibilidad de su acto (Amelung, 1999, p. 25). La asunción de un riesgo comercial abstracto puede ser permitido o no permitido, y su evaluación depende de si la reg</w:t>
      </w:r>
      <w:r w:rsidRPr="0013750A">
        <w:rPr>
          <w:rFonts w:ascii="Myriad Pro" w:hAnsi="Myriad Pro"/>
          <w:bCs/>
          <w:iCs/>
          <w:sz w:val="24"/>
          <w:szCs w:val="24"/>
          <w:lang w:val="es-ES"/>
        </w:rPr>
        <w:t>u</w:t>
      </w:r>
      <w:r w:rsidRPr="0013750A">
        <w:rPr>
          <w:rFonts w:ascii="Myriad Pro" w:hAnsi="Myriad Pro"/>
          <w:bCs/>
          <w:iCs/>
          <w:sz w:val="24"/>
          <w:szCs w:val="24"/>
          <w:lang w:val="es-ES"/>
        </w:rPr>
        <w:t xml:space="preserve">lación de dicha colaboración lo caracteriza como permitido o no permitido. Un ejemplo concreto de este tratamiento se encuentra en el Waffengesetz (WaffG, 2002, </w:t>
      </w:r>
      <w:r w:rsidRPr="0013750A">
        <w:rPr>
          <w:rFonts w:ascii="Myriad Pro" w:hAnsi="Myriad Pro"/>
          <w:bCs/>
          <w:sz w:val="24"/>
          <w:szCs w:val="24"/>
        </w:rPr>
        <w:t>§ 53)</w:t>
      </w:r>
      <w:r w:rsidRPr="0013750A">
        <w:rPr>
          <w:rStyle w:val="Refdenotaalpie"/>
          <w:rFonts w:ascii="Myriad Pro" w:hAnsi="Myriad Pro"/>
          <w:bCs/>
          <w:sz w:val="24"/>
          <w:szCs w:val="24"/>
        </w:rPr>
        <w:footnoteReference w:id="46"/>
      </w:r>
      <w:r w:rsidRPr="0013750A">
        <w:rPr>
          <w:rFonts w:ascii="Myriad Pro" w:hAnsi="Myriad Pro"/>
          <w:bCs/>
          <w:iCs/>
          <w:sz w:val="24"/>
          <w:szCs w:val="24"/>
          <w:lang w:val="es-ES"/>
        </w:rPr>
        <w:t>,</w:t>
      </w:r>
      <w:r w:rsidRPr="0013750A">
        <w:rPr>
          <w:rFonts w:ascii="Garamond" w:hAnsi="Garamond"/>
          <w:bCs/>
          <w:iCs/>
          <w:sz w:val="24"/>
          <w:szCs w:val="24"/>
          <w:lang w:val="es-ES"/>
        </w:rPr>
        <w:t xml:space="preserve"> </w:t>
      </w:r>
      <w:r w:rsidRPr="0013750A">
        <w:rPr>
          <w:rFonts w:ascii="Myriad Pro" w:hAnsi="Myriad Pro"/>
          <w:bCs/>
          <w:iCs/>
          <w:sz w:val="24"/>
          <w:szCs w:val="24"/>
          <w:lang w:val="es-ES"/>
        </w:rPr>
        <w:t>el cual declara como punible el suministro de armas (Amelung, 1999, p. 27). En oposición a la teoría de Roxin, Amelung (1999) afirma que un comportamiento con dolo eventual fundado en el concreto punto de vista del colaborador puede ser punible a título de complicidad, siendo impertinente por ello apelar aquí al principio de confianza.</w:t>
      </w:r>
    </w:p>
    <w:p w14:paraId="4A922997" w14:textId="77777777" w:rsidR="008B1EED" w:rsidRPr="0013750A" w:rsidRDefault="008B1EED" w:rsidP="008B1EED">
      <w:pPr>
        <w:spacing w:before="200" w:after="0" w:line="240" w:lineRule="auto"/>
        <w:jc w:val="both"/>
        <w:rPr>
          <w:rFonts w:ascii="Myriad Pro" w:hAnsi="Myriad Pro"/>
          <w:bCs/>
          <w:iCs/>
          <w:sz w:val="24"/>
          <w:szCs w:val="24"/>
          <w:lang w:val="es-ES"/>
        </w:rPr>
      </w:pPr>
    </w:p>
    <w:p w14:paraId="00DFD8FC" w14:textId="021A0939" w:rsidR="0013750A" w:rsidRDefault="0013750A" w:rsidP="008B1EED">
      <w:pPr>
        <w:spacing w:after="0" w:line="240" w:lineRule="auto"/>
        <w:jc w:val="center"/>
        <w:rPr>
          <w:rFonts w:ascii="Myriad Pro" w:hAnsi="Myriad Pro"/>
          <w:b/>
          <w:sz w:val="24"/>
          <w:szCs w:val="24"/>
        </w:rPr>
      </w:pPr>
      <w:r w:rsidRPr="008B1EED">
        <w:rPr>
          <w:rFonts w:ascii="Myriad Pro" w:hAnsi="Myriad Pro"/>
          <w:b/>
          <w:sz w:val="24"/>
          <w:szCs w:val="24"/>
          <w:lang w:val="es-ES"/>
        </w:rPr>
        <w:t xml:space="preserve">1.4.2. </w:t>
      </w:r>
      <w:r w:rsidRPr="008B1EED">
        <w:rPr>
          <w:rFonts w:ascii="Myriad Pro" w:hAnsi="Myriad Pro"/>
          <w:b/>
          <w:sz w:val="24"/>
          <w:szCs w:val="24"/>
        </w:rPr>
        <w:t>Una restricción interpretativa del dolo relevante para la complicidad a través de activ</w:t>
      </w:r>
      <w:r w:rsidRPr="008B1EED">
        <w:rPr>
          <w:rFonts w:ascii="Myriad Pro" w:hAnsi="Myriad Pro"/>
          <w:b/>
          <w:sz w:val="24"/>
          <w:szCs w:val="24"/>
        </w:rPr>
        <w:t>i</w:t>
      </w:r>
      <w:r w:rsidRPr="008B1EED">
        <w:rPr>
          <w:rFonts w:ascii="Myriad Pro" w:hAnsi="Myriad Pro"/>
          <w:b/>
          <w:sz w:val="24"/>
          <w:szCs w:val="24"/>
        </w:rPr>
        <w:t>dades profesionales</w:t>
      </w:r>
    </w:p>
    <w:p w14:paraId="64525F05" w14:textId="77777777" w:rsidR="008B1EED" w:rsidRPr="008B1EED" w:rsidRDefault="008B1EED" w:rsidP="008B1EED">
      <w:pPr>
        <w:spacing w:after="0" w:line="240" w:lineRule="auto"/>
        <w:jc w:val="center"/>
        <w:rPr>
          <w:rFonts w:ascii="Myriad Pro" w:hAnsi="Myriad Pro"/>
          <w:b/>
          <w:sz w:val="24"/>
          <w:szCs w:val="24"/>
        </w:rPr>
      </w:pPr>
    </w:p>
    <w:p w14:paraId="154B665D" w14:textId="0542623C" w:rsidR="0013750A" w:rsidRPr="0013750A" w:rsidRDefault="0013750A" w:rsidP="0013750A">
      <w:pPr>
        <w:spacing w:before="200"/>
        <w:jc w:val="both"/>
        <w:rPr>
          <w:rFonts w:ascii="Myriad Pro" w:hAnsi="Myriad Pro"/>
          <w:sz w:val="24"/>
          <w:szCs w:val="24"/>
        </w:rPr>
      </w:pPr>
      <w:r>
        <w:rPr>
          <w:rFonts w:ascii="Myriad Pro" w:hAnsi="Myriad Pro"/>
          <w:sz w:val="24"/>
          <w:szCs w:val="24"/>
          <w:lang w:val="es-ES"/>
        </w:rPr>
        <w:tab/>
      </w:r>
      <w:r w:rsidRPr="0013750A">
        <w:rPr>
          <w:rFonts w:ascii="Myriad Pro" w:hAnsi="Myriad Pro"/>
          <w:sz w:val="24"/>
          <w:szCs w:val="24"/>
          <w:lang w:val="es-ES"/>
        </w:rPr>
        <w:t xml:space="preserve">En oposición a Hassemer, quien propone analizar a las reglas profesionales en </w:t>
      </w:r>
      <w:proofErr w:type="gramStart"/>
      <w:r w:rsidRPr="0013750A">
        <w:rPr>
          <w:rFonts w:ascii="Myriad Pro" w:hAnsi="Myriad Pro"/>
          <w:sz w:val="24"/>
          <w:szCs w:val="24"/>
          <w:lang w:val="es-ES"/>
        </w:rPr>
        <w:t>el</w:t>
      </w:r>
      <w:proofErr w:type="gramEnd"/>
      <w:r w:rsidRPr="0013750A">
        <w:rPr>
          <w:rFonts w:ascii="Myriad Pro" w:hAnsi="Myriad Pro"/>
          <w:sz w:val="24"/>
          <w:szCs w:val="24"/>
          <w:lang w:val="es-ES"/>
        </w:rPr>
        <w:t xml:space="preserve"> ámbito del tipo objetivo</w:t>
      </w:r>
      <w:r w:rsidRPr="00861B5C">
        <w:rPr>
          <w:rFonts w:ascii="Myriad Pro" w:hAnsi="Myriad Pro"/>
          <w:sz w:val="24"/>
          <w:szCs w:val="24"/>
          <w:vertAlign w:val="superscript"/>
        </w:rPr>
        <w:footnoteReference w:id="47"/>
      </w:r>
      <w:r w:rsidRPr="0013750A">
        <w:rPr>
          <w:rFonts w:ascii="Myriad Pro" w:hAnsi="Myriad Pro"/>
          <w:sz w:val="24"/>
          <w:szCs w:val="24"/>
          <w:lang w:val="es-ES"/>
        </w:rPr>
        <w:t>,</w:t>
      </w:r>
      <w:r w:rsidRPr="0013750A">
        <w:rPr>
          <w:rFonts w:ascii="Garamond" w:hAnsi="Garamond"/>
          <w:sz w:val="24"/>
          <w:szCs w:val="24"/>
          <w:lang w:val="es-ES"/>
        </w:rPr>
        <w:t xml:space="preserve"> </w:t>
      </w:r>
      <w:r w:rsidRPr="0013750A">
        <w:rPr>
          <w:rFonts w:ascii="Myriad Pro" w:hAnsi="Myriad Pro"/>
          <w:sz w:val="24"/>
          <w:szCs w:val="24"/>
          <w:lang w:val="es-ES"/>
        </w:rPr>
        <w:t>otros autores aceptan la relevancia de estas reglas para el análisis del comportamiento del cómplice, pero sin reconocer en ellas una restri</w:t>
      </w:r>
      <w:r w:rsidRPr="0013750A">
        <w:rPr>
          <w:rFonts w:ascii="Myriad Pro" w:hAnsi="Myriad Pro"/>
          <w:sz w:val="24"/>
          <w:szCs w:val="24"/>
          <w:lang w:val="es-ES"/>
        </w:rPr>
        <w:t>c</w:t>
      </w:r>
      <w:r w:rsidRPr="0013750A">
        <w:rPr>
          <w:rFonts w:ascii="Myriad Pro" w:hAnsi="Myriad Pro"/>
          <w:sz w:val="24"/>
          <w:szCs w:val="24"/>
          <w:lang w:val="es-ES"/>
        </w:rPr>
        <w:t>ción absoluta de la punibilidad de la conducta, propia de quienes sostienen su rel</w:t>
      </w:r>
      <w:r w:rsidRPr="0013750A">
        <w:rPr>
          <w:rFonts w:ascii="Myriad Pro" w:hAnsi="Myriad Pro"/>
          <w:sz w:val="24"/>
          <w:szCs w:val="24"/>
          <w:lang w:val="es-ES"/>
        </w:rPr>
        <w:t>e</w:t>
      </w:r>
      <w:r w:rsidRPr="0013750A">
        <w:rPr>
          <w:rFonts w:ascii="Myriad Pro" w:hAnsi="Myriad Pro"/>
          <w:sz w:val="24"/>
          <w:szCs w:val="24"/>
          <w:lang w:val="es-ES"/>
        </w:rPr>
        <w:t xml:space="preserve">vancia en dicha sede. Se postula que el Derecho penal debe integrar dichas normas en su análisis, pero en el ámbito del dolo (en este sentido; </w:t>
      </w:r>
      <w:r w:rsidRPr="0013750A">
        <w:rPr>
          <w:rFonts w:ascii="Myriad Pro" w:hAnsi="Myriad Pro"/>
          <w:sz w:val="24"/>
          <w:szCs w:val="24"/>
        </w:rPr>
        <w:t xml:space="preserve">Kudlich, </w:t>
      </w:r>
      <w:r w:rsidRPr="0013750A">
        <w:rPr>
          <w:rFonts w:ascii="Myriad Pro" w:hAnsi="Myriad Pro" w:cs="Calibri (Cuerpo en alfabeto com"/>
          <w:smallCaps/>
          <w:sz w:val="24"/>
          <w:szCs w:val="24"/>
          <w:lang w:val="es-ES"/>
        </w:rPr>
        <w:t xml:space="preserve">2008, </w:t>
      </w:r>
      <w:r w:rsidRPr="0013750A">
        <w:rPr>
          <w:rFonts w:ascii="Myriad Pro" w:hAnsi="Myriad Pro"/>
          <w:sz w:val="24"/>
          <w:szCs w:val="24"/>
        </w:rPr>
        <w:t>p.</w:t>
      </w:r>
      <w:r w:rsidRPr="0013750A">
        <w:rPr>
          <w:rFonts w:ascii="Myriad Pro" w:hAnsi="Myriad Pro" w:cs="Calibri (Cuerpo en alfabeto com"/>
          <w:smallCaps/>
          <w:sz w:val="24"/>
          <w:szCs w:val="24"/>
          <w:lang w:val="es-ES"/>
        </w:rPr>
        <w:t xml:space="preserve"> </w:t>
      </w:r>
      <w:r w:rsidRPr="0013750A">
        <w:rPr>
          <w:rFonts w:ascii="Myriad Pro" w:hAnsi="Myriad Pro"/>
          <w:sz w:val="24"/>
          <w:szCs w:val="24"/>
          <w:lang w:val="es-ES"/>
        </w:rPr>
        <w:t>227y ss.).</w:t>
      </w:r>
      <w:r w:rsidRPr="0013750A">
        <w:rPr>
          <w:rFonts w:ascii="Garamond" w:hAnsi="Garamond"/>
          <w:sz w:val="24"/>
          <w:szCs w:val="24"/>
          <w:lang w:val="es-ES"/>
        </w:rPr>
        <w:t xml:space="preserve"> </w:t>
      </w:r>
      <w:r w:rsidRPr="0013750A">
        <w:rPr>
          <w:rFonts w:ascii="Myriad Pro" w:hAnsi="Myriad Pro"/>
          <w:sz w:val="24"/>
          <w:szCs w:val="24"/>
        </w:rPr>
        <w:t>En dicho sentido, Otto (2001, p. 443) reconoce al ámbito de los comportamientos profesionales como un campo riesgoso para la punibilidad, dado que esa conducta, a través del comportamiento de una contraparte comercial, podría contener en si misma un carácter criminal. Es ese riesgo de punibilidad, debido al interés de la libe</w:t>
      </w:r>
      <w:r w:rsidRPr="0013750A">
        <w:rPr>
          <w:rFonts w:ascii="Myriad Pro" w:hAnsi="Myriad Pro"/>
          <w:sz w:val="24"/>
          <w:szCs w:val="24"/>
        </w:rPr>
        <w:t>r</w:t>
      </w:r>
      <w:r w:rsidRPr="0013750A">
        <w:rPr>
          <w:rFonts w:ascii="Myriad Pro" w:hAnsi="Myriad Pro"/>
          <w:sz w:val="24"/>
          <w:szCs w:val="24"/>
        </w:rPr>
        <w:t>tad de trabajo garantizado constitucionalmente (Grundgesetz für die Bundesrepublik Deutschland</w:t>
      </w:r>
      <w:r w:rsidRPr="0013750A">
        <w:rPr>
          <w:rStyle w:val="Refdenotaalpie"/>
          <w:rFonts w:ascii="Myriad Pro" w:hAnsi="Myriad Pro"/>
          <w:sz w:val="24"/>
          <w:szCs w:val="24"/>
        </w:rPr>
        <w:footnoteReference w:id="48"/>
      </w:r>
      <w:r w:rsidRPr="0013750A">
        <w:rPr>
          <w:rFonts w:ascii="Myriad Pro" w:hAnsi="Myriad Pro"/>
          <w:sz w:val="24"/>
          <w:szCs w:val="24"/>
        </w:rPr>
        <w:t>, GG 1949, art. 12, Nm. 1) y al derecho del consumidor a obtener la prestación, el que debe ser restringido ponderadamente. De acuerdo a la opinión de Otto (2001), si bien dicha restricción se realiza normalmente bajo las categorías hab</w:t>
      </w:r>
      <w:r w:rsidRPr="0013750A">
        <w:rPr>
          <w:rFonts w:ascii="Myriad Pro" w:hAnsi="Myriad Pro"/>
          <w:sz w:val="24"/>
          <w:szCs w:val="24"/>
        </w:rPr>
        <w:t>i</w:t>
      </w:r>
      <w:r w:rsidRPr="0013750A">
        <w:rPr>
          <w:rFonts w:ascii="Myriad Pro" w:hAnsi="Myriad Pro"/>
          <w:sz w:val="24"/>
          <w:szCs w:val="24"/>
        </w:rPr>
        <w:t xml:space="preserve">tuales del tipo subjetivo, el legislador puede regular dicho riesgo de punibilidad a través de deberes de cuidado y prohibiciones, alterando las reglas generales, </w:t>
      </w:r>
      <w:r w:rsidRPr="0013750A">
        <w:rPr>
          <w:rFonts w:ascii="Myriad Pro" w:hAnsi="Myriad Pro"/>
          <w:sz w:val="24"/>
          <w:szCs w:val="24"/>
          <w:lang w:val="es-ES"/>
        </w:rPr>
        <w:t>Otto (2001, p. 444) nombra la situación del vendedor de armas, el farmacéutico y el e</w:t>
      </w:r>
      <w:r w:rsidRPr="0013750A">
        <w:rPr>
          <w:rFonts w:ascii="Myriad Pro" w:hAnsi="Myriad Pro"/>
          <w:sz w:val="24"/>
          <w:szCs w:val="24"/>
          <w:lang w:val="es-ES"/>
        </w:rPr>
        <w:t>m</w:t>
      </w:r>
      <w:r w:rsidRPr="0013750A">
        <w:rPr>
          <w:rFonts w:ascii="Myriad Pro" w:hAnsi="Myriad Pro"/>
          <w:sz w:val="24"/>
          <w:szCs w:val="24"/>
          <w:lang w:val="es-ES"/>
        </w:rPr>
        <w:t>pleado del banco cuando ejercer su profesión u oficio–.</w:t>
      </w:r>
      <w:r w:rsidRPr="0013750A">
        <w:rPr>
          <w:rFonts w:ascii="Myriad Pro" w:hAnsi="Myriad Pro"/>
          <w:sz w:val="24"/>
          <w:szCs w:val="24"/>
        </w:rPr>
        <w:t xml:space="preserve"> (Kudlich </w:t>
      </w:r>
      <w:r w:rsidRPr="0013750A">
        <w:rPr>
          <w:rFonts w:ascii="Myriad Pro" w:hAnsi="Myriad Pro" w:cs="Calibri (Cuerpo en alfabeto com"/>
          <w:smallCaps/>
          <w:sz w:val="24"/>
          <w:szCs w:val="24"/>
        </w:rPr>
        <w:t xml:space="preserve">(2004, </w:t>
      </w:r>
      <w:r w:rsidRPr="0013750A">
        <w:rPr>
          <w:rFonts w:ascii="Myriad Pro" w:hAnsi="Myriad Pro"/>
          <w:sz w:val="24"/>
          <w:szCs w:val="24"/>
        </w:rPr>
        <w:t>p.</w:t>
      </w:r>
      <w:r w:rsidRPr="0013750A">
        <w:rPr>
          <w:rFonts w:ascii="Myriad Pro" w:hAnsi="Myriad Pro" w:cs="Calibri (Cuerpo en alfabeto com"/>
          <w:smallCaps/>
          <w:sz w:val="24"/>
          <w:szCs w:val="24"/>
        </w:rPr>
        <w:t xml:space="preserve"> </w:t>
      </w:r>
      <w:r w:rsidRPr="0013750A">
        <w:rPr>
          <w:rFonts w:ascii="Myriad Pro" w:hAnsi="Myriad Pro"/>
          <w:sz w:val="24"/>
          <w:szCs w:val="24"/>
        </w:rPr>
        <w:t>222 y ss.). Aquí radica precisamente la importancia de la regulación legal e interna en el ámbito profesional, limitando la libertad en el ejercicio de la profesión. Dentro del riesgo tolerado normativamente, solo se puede fundar la punibilidad de un comportamie</w:t>
      </w:r>
      <w:r w:rsidRPr="0013750A">
        <w:rPr>
          <w:rFonts w:ascii="Myriad Pro" w:hAnsi="Myriad Pro"/>
          <w:sz w:val="24"/>
          <w:szCs w:val="24"/>
        </w:rPr>
        <w:t>n</w:t>
      </w:r>
      <w:r w:rsidRPr="0013750A">
        <w:rPr>
          <w:rFonts w:ascii="Myriad Pro" w:hAnsi="Myriad Pro"/>
          <w:sz w:val="24"/>
          <w:szCs w:val="24"/>
        </w:rPr>
        <w:t>to a título de complicidad, si él se encuentra gobernado por medio del conocimiento cierto del comportamiento delictivo posterior. Si el legislador, al contrario, reconoce el riesgo de que un determinado comportamiento profesional o comercial pueda ser aprovechado por un tercero para la comisión de un hecho delictivo y no lo regula, entonces tolera dicho peligro. Sin embargo, esa tolerancia solo alcanza al ámbito del dolo eventual. Es decir, el legislador puede extender la punibilidad en este ámbito más allá del dolo directo, alcanzando también a la colaboración con dolo eventual, en la medida que regule expresamente dichas conductas potencialmente colaborat</w:t>
      </w:r>
      <w:r w:rsidRPr="0013750A">
        <w:rPr>
          <w:rFonts w:ascii="Myriad Pro" w:hAnsi="Myriad Pro"/>
          <w:sz w:val="24"/>
          <w:szCs w:val="24"/>
        </w:rPr>
        <w:t>i</w:t>
      </w:r>
      <w:r w:rsidRPr="0013750A">
        <w:rPr>
          <w:rFonts w:ascii="Myriad Pro" w:hAnsi="Myriad Pro"/>
          <w:sz w:val="24"/>
          <w:szCs w:val="24"/>
        </w:rPr>
        <w:t>vas de delitos por ser especialmente riesgosas.</w:t>
      </w:r>
    </w:p>
    <w:p w14:paraId="08A2A893" w14:textId="77777777" w:rsidR="0013750A" w:rsidRPr="0013750A" w:rsidRDefault="0013750A" w:rsidP="0013750A">
      <w:pPr>
        <w:spacing w:before="200"/>
        <w:jc w:val="both"/>
        <w:rPr>
          <w:rFonts w:ascii="Myriad Pro" w:hAnsi="Myriad Pro"/>
          <w:sz w:val="24"/>
          <w:szCs w:val="24"/>
        </w:rPr>
      </w:pPr>
      <w:r w:rsidRPr="0013750A">
        <w:rPr>
          <w:rFonts w:ascii="Myriad Pro" w:hAnsi="Myriad Pro"/>
          <w:sz w:val="24"/>
          <w:szCs w:val="24"/>
        </w:rPr>
        <w:tab/>
        <w:t>Una restricción de este tipo, se funda también por la especial característica normativa que revisten las acciones profesionales: los profesionales no tienen el d</w:t>
      </w:r>
      <w:r w:rsidRPr="0013750A">
        <w:rPr>
          <w:rFonts w:ascii="Myriad Pro" w:hAnsi="Myriad Pro"/>
          <w:sz w:val="24"/>
          <w:szCs w:val="24"/>
        </w:rPr>
        <w:t>e</w:t>
      </w:r>
      <w:r w:rsidRPr="0013750A">
        <w:rPr>
          <w:rFonts w:ascii="Myriad Pro" w:hAnsi="Myriad Pro"/>
          <w:sz w:val="24"/>
          <w:szCs w:val="24"/>
        </w:rPr>
        <w:t xml:space="preserve">recho a negar una prestación en razón de meras sospechas. Sin embargo, si se sale del ámbito de los comportamientos profesionales, el tratamiento debiese cambiar. En el caso de las acciones cotidianas, como lo constituye, por ejemplo, el préstamo de un cuchillo, donde el prestador reconoce (con dolo eventual) el riesgo concreto de una acción punible, dicho prestador se encuentra autorizado por el derecho a </w:t>
      </w:r>
      <w:r w:rsidRPr="0013750A">
        <w:rPr>
          <w:rFonts w:ascii="Myriad Pro" w:hAnsi="Myriad Pro"/>
          <w:sz w:val="24"/>
          <w:szCs w:val="24"/>
        </w:rPr>
        <w:lastRenderedPageBreak/>
        <w:t>omitir una acción que desde su perspectiva podría fomentar la realización de un del</w:t>
      </w:r>
      <w:r w:rsidRPr="0013750A">
        <w:rPr>
          <w:rFonts w:ascii="Myriad Pro" w:hAnsi="Myriad Pro"/>
          <w:sz w:val="24"/>
          <w:szCs w:val="24"/>
        </w:rPr>
        <w:t>i</w:t>
      </w:r>
      <w:r w:rsidRPr="0013750A">
        <w:rPr>
          <w:rFonts w:ascii="Myriad Pro" w:hAnsi="Myriad Pro"/>
          <w:sz w:val="24"/>
          <w:szCs w:val="24"/>
        </w:rPr>
        <w:t>to (Otto, 2004, p. 336), Kudlich (2004, p. 424 y ss.), concuerda con esta argumentación y agrega que la habitualidad y motivación del suministro de un bien o servicio son distintos por parte de privados y profesionales). Según Otto (2001, p. 440), no existe una restricción general del tipo objetivo en este ámbito, dado que el legislador no ha decidido, a través de acción u omisión, en dicho sentido. Es por ello, que el grado de conocimiento constituye el criterio prioritario de la construcción teórica para disti</w:t>
      </w:r>
      <w:r w:rsidRPr="0013750A">
        <w:rPr>
          <w:rFonts w:ascii="Myriad Pro" w:hAnsi="Myriad Pro"/>
          <w:sz w:val="24"/>
          <w:szCs w:val="24"/>
        </w:rPr>
        <w:t>n</w:t>
      </w:r>
      <w:r w:rsidRPr="0013750A">
        <w:rPr>
          <w:rFonts w:ascii="Myriad Pro" w:hAnsi="Myriad Pro"/>
          <w:sz w:val="24"/>
          <w:szCs w:val="24"/>
        </w:rPr>
        <w:t>guir entre contribuciones punibles e impunes. De esta forma, Otto (2001, p. 441) co</w:t>
      </w:r>
      <w:r w:rsidRPr="0013750A">
        <w:rPr>
          <w:rFonts w:ascii="Myriad Pro" w:hAnsi="Myriad Pro"/>
          <w:sz w:val="24"/>
          <w:szCs w:val="24"/>
        </w:rPr>
        <w:t>n</w:t>
      </w:r>
      <w:r w:rsidRPr="0013750A">
        <w:rPr>
          <w:rFonts w:ascii="Myriad Pro" w:hAnsi="Myriad Pro"/>
          <w:sz w:val="24"/>
          <w:szCs w:val="24"/>
        </w:rPr>
        <w:t>sidera correcto el punto de partida del criterio diferenciador del BGH, dado que el aspecto externo de un comportamiento puede no revelar suficiente información p</w:t>
      </w:r>
      <w:r w:rsidRPr="0013750A">
        <w:rPr>
          <w:rFonts w:ascii="Myriad Pro" w:hAnsi="Myriad Pro"/>
          <w:sz w:val="24"/>
          <w:szCs w:val="24"/>
        </w:rPr>
        <w:t>a</w:t>
      </w:r>
      <w:r w:rsidRPr="0013750A">
        <w:rPr>
          <w:rFonts w:ascii="Myriad Pro" w:hAnsi="Myriad Pro"/>
          <w:sz w:val="24"/>
          <w:szCs w:val="24"/>
        </w:rPr>
        <w:t xml:space="preserve">ra realizar su evaluación jurídica, </w:t>
      </w:r>
      <w:r w:rsidRPr="0013750A">
        <w:rPr>
          <w:rFonts w:ascii="Myriad Pro" w:hAnsi="Myriad Pro"/>
          <w:sz w:val="24"/>
          <w:szCs w:val="24"/>
          <w:lang w:val="es-ES"/>
        </w:rPr>
        <w:t>“</w:t>
      </w:r>
      <w:r w:rsidRPr="0013750A">
        <w:rPr>
          <w:rFonts w:ascii="Myriad Pro" w:hAnsi="Myriad Pro"/>
          <w:bCs/>
          <w:sz w:val="24"/>
          <w:szCs w:val="24"/>
          <w:lang w:val="es-ES"/>
        </w:rPr>
        <w:t>Erst seine Ziel- und Zwecksetzung verleiht ihm den sozialen Sinngehalt</w:t>
      </w:r>
      <w:r w:rsidRPr="0013750A">
        <w:rPr>
          <w:rFonts w:ascii="Myriad Pro" w:hAnsi="Myriad Pro"/>
          <w:sz w:val="24"/>
          <w:szCs w:val="24"/>
          <w:lang w:val="es-ES"/>
        </w:rPr>
        <w:t>” (Otto, 2004, p. 336)</w:t>
      </w:r>
      <w:r w:rsidRPr="0013750A">
        <w:rPr>
          <w:rFonts w:ascii="Myriad Pro" w:hAnsi="Myriad Pro"/>
          <w:sz w:val="24"/>
          <w:szCs w:val="24"/>
          <w:vertAlign w:val="superscript"/>
        </w:rPr>
        <w:footnoteReference w:id="49"/>
      </w:r>
      <w:r w:rsidRPr="0013750A">
        <w:rPr>
          <w:rFonts w:ascii="Myriad Pro" w:hAnsi="Myriad Pro"/>
          <w:sz w:val="24"/>
          <w:szCs w:val="24"/>
          <w:lang w:val="es-ES"/>
        </w:rPr>
        <w:t>.</w:t>
      </w:r>
      <w:r w:rsidRPr="0013750A">
        <w:rPr>
          <w:rFonts w:ascii="Myriad Pro" w:hAnsi="Myriad Pro"/>
          <w:sz w:val="24"/>
          <w:szCs w:val="24"/>
        </w:rPr>
        <w:t xml:space="preserve"> Es por ello que se debe diferenciar entre conocimiento cierto y mero reconocimiento de una posibilidad, tal como lo ha so</w:t>
      </w:r>
      <w:r w:rsidRPr="0013750A">
        <w:rPr>
          <w:rFonts w:ascii="Myriad Pro" w:hAnsi="Myriad Pro"/>
          <w:sz w:val="24"/>
          <w:szCs w:val="24"/>
        </w:rPr>
        <w:t>s</w:t>
      </w:r>
      <w:r w:rsidRPr="0013750A">
        <w:rPr>
          <w:rFonts w:ascii="Myriad Pro" w:hAnsi="Myriad Pro"/>
          <w:sz w:val="24"/>
          <w:szCs w:val="24"/>
        </w:rPr>
        <w:t>tenido la jurisprudencia del BGH. Una colaboración con conocimiento cierto es sie</w:t>
      </w:r>
      <w:r w:rsidRPr="0013750A">
        <w:rPr>
          <w:rFonts w:ascii="Myriad Pro" w:hAnsi="Myriad Pro"/>
          <w:sz w:val="24"/>
          <w:szCs w:val="24"/>
        </w:rPr>
        <w:t>m</w:t>
      </w:r>
      <w:r w:rsidRPr="0013750A">
        <w:rPr>
          <w:rFonts w:ascii="Myriad Pro" w:hAnsi="Myriad Pro"/>
          <w:sz w:val="24"/>
          <w:szCs w:val="24"/>
        </w:rPr>
        <w:t>pre punible, y solo cuando la utilización delictiva del aporte no es conocido con dolo directo procede el segundo criterio, esto es, la distinción entre acciones cotidianas y profesionales.</w:t>
      </w:r>
    </w:p>
    <w:p w14:paraId="6329B803" w14:textId="37E7578E" w:rsidR="0013750A" w:rsidRDefault="0013750A" w:rsidP="0013750A">
      <w:pPr>
        <w:spacing w:before="200"/>
        <w:jc w:val="both"/>
        <w:rPr>
          <w:rFonts w:ascii="Garamond" w:hAnsi="Garamond"/>
          <w:sz w:val="24"/>
          <w:szCs w:val="24"/>
          <w:lang w:val="es-ES"/>
        </w:rPr>
      </w:pPr>
      <w:r w:rsidRPr="0013750A">
        <w:rPr>
          <w:rFonts w:ascii="Garamond" w:hAnsi="Garamond"/>
          <w:sz w:val="24"/>
          <w:szCs w:val="24"/>
        </w:rPr>
        <w:tab/>
      </w:r>
      <w:r w:rsidRPr="0013750A">
        <w:rPr>
          <w:rFonts w:ascii="Myriad Pro" w:hAnsi="Myriad Pro"/>
          <w:sz w:val="24"/>
          <w:szCs w:val="24"/>
        </w:rPr>
        <w:t>Esta vía de solución subjetiva, recibe comúnmente dos objeciones de releva</w:t>
      </w:r>
      <w:r w:rsidRPr="0013750A">
        <w:rPr>
          <w:rFonts w:ascii="Myriad Pro" w:hAnsi="Myriad Pro"/>
          <w:sz w:val="24"/>
          <w:szCs w:val="24"/>
        </w:rPr>
        <w:t>n</w:t>
      </w:r>
      <w:r w:rsidRPr="0013750A">
        <w:rPr>
          <w:rFonts w:ascii="Myriad Pro" w:hAnsi="Myriad Pro"/>
          <w:sz w:val="24"/>
          <w:szCs w:val="24"/>
        </w:rPr>
        <w:t xml:space="preserve">cia. Por una parte, se sostiene que las opiniones teóricas que sostienen una división de acuerdo al grado de dolo se encuentran en las cercanías de un “Derecho penal del ánimo” (Hassemer, 1995a, p. 43); </w:t>
      </w:r>
      <w:r w:rsidRPr="0013750A">
        <w:rPr>
          <w:rFonts w:ascii="Myriad Pro" w:hAnsi="Myriad Pro"/>
          <w:sz w:val="24"/>
          <w:szCs w:val="24"/>
          <w:lang w:val="es-ES"/>
        </w:rPr>
        <w:t>Frisch (1988) califica a ese límite como “Derecho penal del ánimo en la cultura jurídica” (</w:t>
      </w:r>
      <w:r w:rsidRPr="0013750A">
        <w:rPr>
          <w:rFonts w:ascii="Myriad Pro" w:hAnsi="Myriad Pro"/>
          <w:sz w:val="24"/>
          <w:szCs w:val="24"/>
        </w:rPr>
        <w:t>p. 298), por medio de una delimitación que, adicionalmente, es dogmáticamente poco prolija. Las teorías objetivas critican que la delimitación del carácter punible de un comportamiento sea realizada por medio del conocimiento del colaborador, dado que el objeto de prohibición debe ser siempre determinado a través de criterios objetivos (Kindhäuser, 2007a, p. 360).</w:t>
      </w:r>
      <w:r w:rsidRPr="0013750A">
        <w:rPr>
          <w:rFonts w:ascii="Garamond" w:hAnsi="Garamond"/>
          <w:sz w:val="24"/>
          <w:szCs w:val="24"/>
        </w:rPr>
        <w:t xml:space="preserve"> </w:t>
      </w:r>
      <w:r w:rsidRPr="0013750A">
        <w:rPr>
          <w:rFonts w:ascii="Myriad Pro" w:hAnsi="Myriad Pro"/>
          <w:sz w:val="24"/>
          <w:szCs w:val="24"/>
        </w:rPr>
        <w:t>El tratamie</w:t>
      </w:r>
      <w:r w:rsidRPr="0013750A">
        <w:rPr>
          <w:rFonts w:ascii="Myriad Pro" w:hAnsi="Myriad Pro"/>
          <w:sz w:val="24"/>
          <w:szCs w:val="24"/>
        </w:rPr>
        <w:t>n</w:t>
      </w:r>
      <w:r w:rsidRPr="0013750A">
        <w:rPr>
          <w:rFonts w:ascii="Myriad Pro" w:hAnsi="Myriad Pro"/>
          <w:sz w:val="24"/>
          <w:szCs w:val="24"/>
        </w:rPr>
        <w:t>to de un problema dogmático por medio de instrumental subjetivo prueba norma</w:t>
      </w:r>
      <w:r w:rsidRPr="0013750A">
        <w:rPr>
          <w:rFonts w:ascii="Myriad Pro" w:hAnsi="Myriad Pro"/>
          <w:sz w:val="24"/>
          <w:szCs w:val="24"/>
        </w:rPr>
        <w:t>l</w:t>
      </w:r>
      <w:r w:rsidRPr="0013750A">
        <w:rPr>
          <w:rFonts w:ascii="Myriad Pro" w:hAnsi="Myriad Pro"/>
          <w:sz w:val="24"/>
          <w:szCs w:val="24"/>
        </w:rPr>
        <w:t>mente la incapacidad de la teoría para resolverlo o, simplemente, la incomprensión del problema. Si lo que se quiere prohibir es un determinado comportamiento, no se debe prohibir la intención que lo gobierna, sino que el comportamiento realizado de forma consciente, evitando con ello la objeción referida a un Derecho penal del án</w:t>
      </w:r>
      <w:r w:rsidRPr="0013750A">
        <w:rPr>
          <w:rFonts w:ascii="Myriad Pro" w:hAnsi="Myriad Pro"/>
          <w:sz w:val="24"/>
          <w:szCs w:val="24"/>
        </w:rPr>
        <w:t>i</w:t>
      </w:r>
      <w:r w:rsidRPr="0013750A">
        <w:rPr>
          <w:rFonts w:ascii="Myriad Pro" w:hAnsi="Myriad Pro"/>
          <w:sz w:val="24"/>
          <w:szCs w:val="24"/>
        </w:rPr>
        <w:t>mo. Amelung (1999, p. 25) refuta dicha crítica, afirmando que quien participa con</w:t>
      </w:r>
      <w:r w:rsidRPr="0013750A">
        <w:rPr>
          <w:rFonts w:ascii="Myriad Pro" w:hAnsi="Myriad Pro"/>
          <w:sz w:val="24"/>
          <w:szCs w:val="24"/>
        </w:rPr>
        <w:t>s</w:t>
      </w:r>
      <w:r w:rsidRPr="0013750A">
        <w:rPr>
          <w:rFonts w:ascii="Myriad Pro" w:hAnsi="Myriad Pro"/>
          <w:sz w:val="24"/>
          <w:szCs w:val="24"/>
        </w:rPr>
        <w:t>cientemente en un hecho delictivo no solo manifiesta un ánimo contrario al Derecho, sino que también contribuye a ocasion</w:t>
      </w:r>
      <w:r w:rsidRPr="0013750A">
        <w:rPr>
          <w:rFonts w:ascii="Myriad Pro" w:hAnsi="Myriad Pro"/>
          <w:sz w:val="24"/>
          <w:szCs w:val="24"/>
          <w:lang w:val="es-ES"/>
        </w:rPr>
        <w:t>ar una lesión al bien jurídico protegido. Por otra parte, se le formula como crítica adicional a esta solución, que la restricción del dolo del partícipe no es conciliable con el tenor literal del § 27 StGB (</w:t>
      </w:r>
      <w:r w:rsidRPr="0013750A">
        <w:rPr>
          <w:rFonts w:ascii="Myriad Pro" w:hAnsi="Myriad Pro"/>
          <w:sz w:val="24"/>
          <w:szCs w:val="24"/>
        </w:rPr>
        <w:t>Kindhäuser, 2007a, p. 359)</w:t>
      </w:r>
      <w:r w:rsidRPr="0013750A">
        <w:rPr>
          <w:rFonts w:ascii="Myriad Pro" w:hAnsi="Myriad Pro"/>
          <w:sz w:val="24"/>
          <w:szCs w:val="24"/>
          <w:lang w:val="es-ES"/>
        </w:rPr>
        <w:t>. Pese a que Amelung (1999, p. 26) en principio acepta la objeción, la considera de poca relevancia dado que el fin de la prohibición de complicidad puede modelar el alcance del dolo del cómplice.</w:t>
      </w:r>
      <w:r w:rsidR="00861B5C">
        <w:rPr>
          <w:rFonts w:ascii="Garamond" w:hAnsi="Garamond"/>
          <w:sz w:val="24"/>
          <w:szCs w:val="24"/>
          <w:lang w:val="es-ES"/>
        </w:rPr>
        <w:t xml:space="preserve"> </w:t>
      </w:r>
    </w:p>
    <w:p w14:paraId="5E86C23E" w14:textId="77777777" w:rsidR="00C67EE0" w:rsidRPr="0013750A" w:rsidRDefault="00C67EE0" w:rsidP="00C67EE0">
      <w:pPr>
        <w:spacing w:after="0" w:line="240" w:lineRule="auto"/>
        <w:jc w:val="both"/>
        <w:rPr>
          <w:rFonts w:ascii="Garamond" w:hAnsi="Garamond"/>
          <w:b/>
          <w:bCs/>
          <w:iCs/>
          <w:sz w:val="24"/>
          <w:szCs w:val="24"/>
          <w:lang w:val="es-ES"/>
        </w:rPr>
      </w:pPr>
    </w:p>
    <w:p w14:paraId="6F00C8FB" w14:textId="4D913C6F" w:rsidR="00ED3A51" w:rsidRPr="00C67EE0" w:rsidRDefault="00ED3A51" w:rsidP="00C67EE0">
      <w:pPr>
        <w:spacing w:after="0" w:line="240" w:lineRule="auto"/>
        <w:jc w:val="center"/>
        <w:rPr>
          <w:rFonts w:ascii="Myriad Pro" w:hAnsi="Myriad Pro"/>
          <w:b/>
          <w:sz w:val="28"/>
          <w:szCs w:val="28"/>
          <w:lang w:val="es-ES"/>
        </w:rPr>
      </w:pPr>
      <w:r w:rsidRPr="00C67EE0">
        <w:rPr>
          <w:rFonts w:ascii="Myriad Pro" w:hAnsi="Myriad Pro"/>
          <w:b/>
          <w:sz w:val="28"/>
          <w:szCs w:val="28"/>
          <w:lang w:val="es-ES"/>
        </w:rPr>
        <w:t xml:space="preserve">1.5. </w:t>
      </w:r>
      <w:r w:rsidR="00861B5C" w:rsidRPr="00C67EE0">
        <w:rPr>
          <w:rFonts w:ascii="Myriad Pro" w:hAnsi="Myriad Pro"/>
          <w:b/>
          <w:sz w:val="28"/>
          <w:szCs w:val="28"/>
          <w:lang w:val="es-ES"/>
        </w:rPr>
        <w:t>Restricción de la punibilidad a través del reconocimiento de una causa de justificación</w:t>
      </w:r>
    </w:p>
    <w:p w14:paraId="4BA04513" w14:textId="77777777" w:rsidR="00C67EE0" w:rsidRDefault="00C67EE0" w:rsidP="00C67EE0">
      <w:pPr>
        <w:spacing w:after="0" w:line="240" w:lineRule="auto"/>
        <w:jc w:val="both"/>
        <w:rPr>
          <w:rFonts w:ascii="Myriad Pro" w:hAnsi="Myriad Pro"/>
          <w:sz w:val="24"/>
          <w:szCs w:val="24"/>
          <w:lang w:val="es-ES"/>
        </w:rPr>
      </w:pPr>
    </w:p>
    <w:p w14:paraId="6104D0F3" w14:textId="6EF29666" w:rsidR="00861B5C" w:rsidRPr="00861B5C" w:rsidRDefault="00861B5C" w:rsidP="00861B5C">
      <w:pPr>
        <w:spacing w:before="200"/>
        <w:jc w:val="both"/>
        <w:rPr>
          <w:rFonts w:ascii="Myriad Pro" w:hAnsi="Myriad Pro"/>
          <w:sz w:val="24"/>
          <w:szCs w:val="24"/>
          <w:lang w:val="es-ES"/>
        </w:rPr>
      </w:pPr>
      <w:r>
        <w:rPr>
          <w:rFonts w:ascii="Myriad Pro" w:hAnsi="Myriad Pro"/>
          <w:sz w:val="24"/>
          <w:szCs w:val="24"/>
          <w:lang w:val="es-ES"/>
        </w:rPr>
        <w:tab/>
      </w:r>
      <w:r w:rsidRPr="00861B5C">
        <w:rPr>
          <w:rFonts w:ascii="Myriad Pro" w:hAnsi="Myriad Pro"/>
          <w:sz w:val="24"/>
          <w:szCs w:val="24"/>
          <w:lang w:val="es-ES"/>
        </w:rPr>
        <w:t>Algunos autores, proponen el tratamiento de situaciones profesionales e</w:t>
      </w:r>
      <w:r w:rsidRPr="00861B5C">
        <w:rPr>
          <w:rFonts w:ascii="Myriad Pro" w:hAnsi="Myriad Pro"/>
          <w:sz w:val="24"/>
          <w:szCs w:val="24"/>
          <w:lang w:val="es-ES"/>
        </w:rPr>
        <w:t>x</w:t>
      </w:r>
      <w:r w:rsidRPr="00861B5C">
        <w:rPr>
          <w:rFonts w:ascii="Myriad Pro" w:hAnsi="Myriad Pro"/>
          <w:sz w:val="24"/>
          <w:szCs w:val="24"/>
          <w:lang w:val="es-ES"/>
        </w:rPr>
        <w:t>cepcionalmente en el nivel de la antijuridicidad. El caso de mayor relevancia a este respecto se encuentra en el derecho al asesoramiento jurídico. ¿Merece el asesor</w:t>
      </w:r>
      <w:r w:rsidRPr="00861B5C">
        <w:rPr>
          <w:rFonts w:ascii="Myriad Pro" w:hAnsi="Myriad Pro"/>
          <w:sz w:val="24"/>
          <w:szCs w:val="24"/>
          <w:lang w:val="es-ES"/>
        </w:rPr>
        <w:t>a</w:t>
      </w:r>
      <w:r w:rsidRPr="00861B5C">
        <w:rPr>
          <w:rFonts w:ascii="Myriad Pro" w:hAnsi="Myriad Pro"/>
          <w:sz w:val="24"/>
          <w:szCs w:val="24"/>
          <w:lang w:val="es-ES"/>
        </w:rPr>
        <w:t>miento jurídico un tratamiento especial? Amelung (1999, p. 27 y ss.) asiente y agrega el fundamento: una argumentación con causas de justificación limitadas tendría la ventaja de llevar el tratamiento del problema a un esquema de reglas, excepciones y contra excepciones (en contra de un reconocimiento general de una causa de justif</w:t>
      </w:r>
      <w:r w:rsidRPr="00861B5C">
        <w:rPr>
          <w:rFonts w:ascii="Myriad Pro" w:hAnsi="Myriad Pro"/>
          <w:sz w:val="24"/>
          <w:szCs w:val="24"/>
          <w:lang w:val="es-ES"/>
        </w:rPr>
        <w:t>i</w:t>
      </w:r>
      <w:r w:rsidRPr="00861B5C">
        <w:rPr>
          <w:rFonts w:ascii="Myriad Pro" w:hAnsi="Myriad Pro"/>
          <w:sz w:val="24"/>
          <w:szCs w:val="24"/>
          <w:lang w:val="es-ES"/>
        </w:rPr>
        <w:t>cación, está Hruschka, 1984, p. 257 y ss.). Así podría ser tratado adecuadamente, por ejemplo, el caso de abuso del derecho por parte del abogado defensor. Otto (2001) se declara en contra de esta postura utilizando para ello el ejemplo de un abogado defensor que utiliza judicialmente un documento respecto del que duda sobre su veracidad. En aplicación de su teoría, Otto (2001, p. 438)</w:t>
      </w:r>
      <w:r w:rsidRPr="00861B5C">
        <w:rPr>
          <w:rStyle w:val="Ancladenotaalpie"/>
          <w:rFonts w:ascii="Myriad Pro" w:hAnsi="Myriad Pro"/>
          <w:sz w:val="24"/>
          <w:szCs w:val="24"/>
        </w:rPr>
        <w:footnoteReference w:id="50"/>
      </w:r>
      <w:r w:rsidRPr="00861B5C">
        <w:rPr>
          <w:rFonts w:ascii="Myriad Pro" w:hAnsi="Myriad Pro"/>
          <w:sz w:val="24"/>
          <w:szCs w:val="24"/>
          <w:lang w:val="es-ES"/>
        </w:rPr>
        <w:t xml:space="preserve"> afirma que el uso conscie</w:t>
      </w:r>
      <w:r w:rsidRPr="00861B5C">
        <w:rPr>
          <w:rFonts w:ascii="Myriad Pro" w:hAnsi="Myriad Pro"/>
          <w:sz w:val="24"/>
          <w:szCs w:val="24"/>
          <w:lang w:val="es-ES"/>
        </w:rPr>
        <w:t>n</w:t>
      </w:r>
      <w:r w:rsidRPr="00861B5C">
        <w:rPr>
          <w:rFonts w:ascii="Myriad Pro" w:hAnsi="Myriad Pro"/>
          <w:sz w:val="24"/>
          <w:szCs w:val="24"/>
          <w:lang w:val="es-ES"/>
        </w:rPr>
        <w:t>te de un medio de prueba falso sería antijurídico, dado el derecho a defensa enco</w:t>
      </w:r>
      <w:r w:rsidRPr="00861B5C">
        <w:rPr>
          <w:rFonts w:ascii="Myriad Pro" w:hAnsi="Myriad Pro"/>
          <w:sz w:val="24"/>
          <w:szCs w:val="24"/>
          <w:lang w:val="es-ES"/>
        </w:rPr>
        <w:t>n</w:t>
      </w:r>
      <w:r w:rsidRPr="00861B5C">
        <w:rPr>
          <w:rFonts w:ascii="Myriad Pro" w:hAnsi="Myriad Pro"/>
          <w:sz w:val="24"/>
          <w:szCs w:val="24"/>
          <w:lang w:val="es-ES"/>
        </w:rPr>
        <w:t>traría su límite en la prohibición de poner en peligro la administración de justicia.  Así, la punibilidad del defensor requeriría aquí dolo directo, pese a que -para la gen</w:t>
      </w:r>
      <w:r w:rsidRPr="00861B5C">
        <w:rPr>
          <w:rFonts w:ascii="Myriad Pro" w:hAnsi="Myriad Pro"/>
          <w:sz w:val="24"/>
          <w:szCs w:val="24"/>
          <w:lang w:val="es-ES"/>
        </w:rPr>
        <w:t>e</w:t>
      </w:r>
      <w:r w:rsidRPr="00861B5C">
        <w:rPr>
          <w:rFonts w:ascii="Myriad Pro" w:hAnsi="Myriad Pro"/>
          <w:sz w:val="24"/>
          <w:szCs w:val="24"/>
          <w:lang w:val="es-ES"/>
        </w:rPr>
        <w:t>ralidad- el uso de documentos falsos es punible también con dolo eventual.</w:t>
      </w:r>
    </w:p>
    <w:p w14:paraId="10D0E8E0" w14:textId="77777777" w:rsidR="00861B5C" w:rsidRDefault="00861B5C" w:rsidP="00861B5C">
      <w:pPr>
        <w:spacing w:before="200"/>
        <w:jc w:val="both"/>
        <w:rPr>
          <w:rFonts w:ascii="Myriad Pro" w:hAnsi="Myriad Pro"/>
          <w:sz w:val="24"/>
          <w:szCs w:val="24"/>
          <w:lang w:val="es-ES"/>
        </w:rPr>
      </w:pPr>
      <w:r w:rsidRPr="00861B5C">
        <w:rPr>
          <w:rFonts w:ascii="Myriad Pro" w:hAnsi="Myriad Pro"/>
          <w:sz w:val="24"/>
          <w:szCs w:val="24"/>
          <w:lang w:val="es-ES"/>
        </w:rPr>
        <w:tab/>
        <w:t>Precisamente porque el ejercicio de un derecho puede ser visto siempre c</w:t>
      </w:r>
      <w:r w:rsidRPr="00861B5C">
        <w:rPr>
          <w:rFonts w:ascii="Myriad Pro" w:hAnsi="Myriad Pro"/>
          <w:sz w:val="24"/>
          <w:szCs w:val="24"/>
          <w:lang w:val="es-ES"/>
        </w:rPr>
        <w:t>o</w:t>
      </w:r>
      <w:r w:rsidRPr="00861B5C">
        <w:rPr>
          <w:rFonts w:ascii="Myriad Pro" w:hAnsi="Myriad Pro"/>
          <w:sz w:val="24"/>
          <w:szCs w:val="24"/>
          <w:lang w:val="es-ES"/>
        </w:rPr>
        <w:t>mo una causa de justificación, es que el nivel de la antijuridicidad constituye el lugar potencialmente adecuado para encontrar una solución para el caso previamente referido del abogado defensor, a menos que una interpretación restrictiva del tipo lo permita –evidentemente esta propuesta encuentra un lugar fecundo en el Código Penal (1874, art. 10, no. 10</w:t>
      </w:r>
      <w:proofErr w:type="gramStart"/>
      <w:r w:rsidRPr="00861B5C">
        <w:rPr>
          <w:rFonts w:ascii="Myriad Pro" w:hAnsi="Myriad Pro"/>
          <w:sz w:val="24"/>
          <w:szCs w:val="24"/>
          <w:lang w:val="es-ES"/>
        </w:rPr>
        <w:t>)–</w:t>
      </w:r>
      <w:proofErr w:type="gramEnd"/>
      <w:r w:rsidRPr="00861B5C">
        <w:rPr>
          <w:rFonts w:ascii="Myriad Pro" w:hAnsi="Myriad Pro"/>
          <w:sz w:val="24"/>
          <w:szCs w:val="24"/>
          <w:lang w:val="es-ES"/>
        </w:rPr>
        <w:t>. El problema de dicho acercamiento radica en la incap</w:t>
      </w:r>
      <w:r w:rsidRPr="00861B5C">
        <w:rPr>
          <w:rFonts w:ascii="Myriad Pro" w:hAnsi="Myriad Pro"/>
          <w:sz w:val="24"/>
          <w:szCs w:val="24"/>
          <w:lang w:val="es-ES"/>
        </w:rPr>
        <w:t>a</w:t>
      </w:r>
      <w:r w:rsidRPr="00861B5C">
        <w:rPr>
          <w:rFonts w:ascii="Myriad Pro" w:hAnsi="Myriad Pro"/>
          <w:sz w:val="24"/>
          <w:szCs w:val="24"/>
          <w:lang w:val="es-ES"/>
        </w:rPr>
        <w:t>cidad del criterio para ser generalizado, de modo que dicho modelo solo puede fu</w:t>
      </w:r>
      <w:r w:rsidRPr="00861B5C">
        <w:rPr>
          <w:rFonts w:ascii="Myriad Pro" w:hAnsi="Myriad Pro"/>
          <w:sz w:val="24"/>
          <w:szCs w:val="24"/>
          <w:lang w:val="es-ES"/>
        </w:rPr>
        <w:t>n</w:t>
      </w:r>
      <w:r w:rsidRPr="00861B5C">
        <w:rPr>
          <w:rFonts w:ascii="Myriad Pro" w:hAnsi="Myriad Pro"/>
          <w:sz w:val="24"/>
          <w:szCs w:val="24"/>
          <w:lang w:val="es-ES"/>
        </w:rPr>
        <w:t>cionar en casos de verdaderas colisiones de derechos. Las así denominadas acciones neutrales, no reclaman para sí un derecho cuando se basan en la adecuación social o habitualidad del comportamiento. Es siempre importante resaltar, que la ponder</w:t>
      </w:r>
      <w:r w:rsidRPr="00861B5C">
        <w:rPr>
          <w:rFonts w:ascii="Myriad Pro" w:hAnsi="Myriad Pro"/>
          <w:sz w:val="24"/>
          <w:szCs w:val="24"/>
          <w:lang w:val="es-ES"/>
        </w:rPr>
        <w:t>a</w:t>
      </w:r>
      <w:r w:rsidRPr="00861B5C">
        <w:rPr>
          <w:rFonts w:ascii="Myriad Pro" w:hAnsi="Myriad Pro"/>
          <w:sz w:val="24"/>
          <w:szCs w:val="24"/>
          <w:lang w:val="es-ES"/>
        </w:rPr>
        <w:t>ción entre utilidad de una actividad y su prohibición para proteger bienes jurídicos es tarea del legislador.</w:t>
      </w:r>
    </w:p>
    <w:p w14:paraId="6269E343" w14:textId="77777777" w:rsidR="00C67EE0" w:rsidRDefault="00C67EE0" w:rsidP="00C67EE0">
      <w:pPr>
        <w:spacing w:after="0" w:line="240" w:lineRule="auto"/>
        <w:jc w:val="both"/>
        <w:rPr>
          <w:rFonts w:ascii="Myriad Pro" w:hAnsi="Myriad Pro"/>
          <w:sz w:val="24"/>
          <w:szCs w:val="24"/>
          <w:lang w:val="es-ES"/>
        </w:rPr>
      </w:pPr>
    </w:p>
    <w:p w14:paraId="13407256" w14:textId="77777777" w:rsidR="00C67EE0" w:rsidRPr="00861B5C" w:rsidRDefault="00C67EE0" w:rsidP="00C67EE0">
      <w:pPr>
        <w:spacing w:after="0" w:line="240" w:lineRule="auto"/>
        <w:jc w:val="both"/>
        <w:rPr>
          <w:rFonts w:ascii="Myriad Pro" w:hAnsi="Myriad Pro"/>
          <w:sz w:val="24"/>
          <w:szCs w:val="24"/>
          <w:lang w:val="es-ES"/>
        </w:rPr>
      </w:pPr>
    </w:p>
    <w:p w14:paraId="4FEBAEBA" w14:textId="238E36A7" w:rsidR="00FD7B8A" w:rsidRPr="00C67EE0" w:rsidRDefault="0053517B" w:rsidP="00C67EE0">
      <w:pPr>
        <w:spacing w:after="0" w:line="240" w:lineRule="auto"/>
        <w:jc w:val="center"/>
        <w:rPr>
          <w:rFonts w:ascii="Myriad Pro" w:hAnsi="Myriad Pro"/>
          <w:b/>
          <w:sz w:val="32"/>
          <w:szCs w:val="32"/>
          <w:lang w:val="es-ES"/>
        </w:rPr>
      </w:pPr>
      <w:r w:rsidRPr="00C67EE0">
        <w:rPr>
          <w:rFonts w:ascii="Myriad Pro" w:hAnsi="Myriad Pro"/>
          <w:b/>
          <w:sz w:val="32"/>
          <w:szCs w:val="32"/>
          <w:lang w:val="es-ES"/>
        </w:rPr>
        <w:t xml:space="preserve">2. </w:t>
      </w:r>
      <w:r w:rsidR="00861B5C" w:rsidRPr="00C67EE0">
        <w:rPr>
          <w:rFonts w:ascii="Myriad Pro" w:hAnsi="Myriad Pro"/>
          <w:b/>
          <w:sz w:val="32"/>
          <w:szCs w:val="32"/>
          <w:lang w:val="es-ES"/>
        </w:rPr>
        <w:t>Valoración de las propuestas de solución y la necesidad de un cambio en el punto de pa</w:t>
      </w:r>
      <w:r w:rsidR="00861B5C" w:rsidRPr="00C67EE0">
        <w:rPr>
          <w:rFonts w:ascii="Myriad Pro" w:hAnsi="Myriad Pro"/>
          <w:b/>
          <w:sz w:val="32"/>
          <w:szCs w:val="32"/>
          <w:lang w:val="es-ES"/>
        </w:rPr>
        <w:t>r</w:t>
      </w:r>
      <w:r w:rsidR="00861B5C" w:rsidRPr="00C67EE0">
        <w:rPr>
          <w:rFonts w:ascii="Myriad Pro" w:hAnsi="Myriad Pro"/>
          <w:b/>
          <w:sz w:val="32"/>
          <w:szCs w:val="32"/>
          <w:lang w:val="es-ES"/>
        </w:rPr>
        <w:t>tida en el análisis</w:t>
      </w:r>
    </w:p>
    <w:p w14:paraId="2A6EFD6C" w14:textId="77777777" w:rsidR="00C67EE0" w:rsidRDefault="00C67EE0" w:rsidP="00C67EE0">
      <w:pPr>
        <w:spacing w:after="0" w:line="240" w:lineRule="auto"/>
        <w:jc w:val="center"/>
        <w:rPr>
          <w:lang w:val="es-ES"/>
        </w:rPr>
      </w:pPr>
    </w:p>
    <w:p w14:paraId="7EFCEA34" w14:textId="77777777" w:rsidR="00C67EE0" w:rsidRPr="00C67EE0" w:rsidRDefault="00C67EE0" w:rsidP="00C67EE0">
      <w:pPr>
        <w:spacing w:after="0" w:line="240" w:lineRule="auto"/>
        <w:jc w:val="center"/>
        <w:rPr>
          <w:lang w:val="es-ES"/>
        </w:rPr>
      </w:pPr>
    </w:p>
    <w:p w14:paraId="4D743C80" w14:textId="03B3F481" w:rsidR="00861B5C" w:rsidRDefault="00861B5C" w:rsidP="00C67EE0">
      <w:pPr>
        <w:spacing w:line="240" w:lineRule="auto"/>
        <w:jc w:val="both"/>
        <w:rPr>
          <w:rFonts w:ascii="Myriad Pro" w:hAnsi="Myriad Pro"/>
          <w:sz w:val="24"/>
          <w:szCs w:val="24"/>
          <w:lang w:val="es-ES"/>
        </w:rPr>
      </w:pPr>
      <w:r>
        <w:rPr>
          <w:rFonts w:ascii="Myriad Pro" w:hAnsi="Myriad Pro"/>
          <w:sz w:val="24"/>
          <w:szCs w:val="24"/>
          <w:lang w:val="es-ES"/>
        </w:rPr>
        <w:lastRenderedPageBreak/>
        <w:tab/>
      </w:r>
      <w:r w:rsidRPr="00861B5C">
        <w:rPr>
          <w:rFonts w:ascii="Myriad Pro" w:hAnsi="Myriad Pro"/>
          <w:sz w:val="24"/>
          <w:szCs w:val="24"/>
          <w:lang w:val="es-ES"/>
        </w:rPr>
        <w:t>Dado que se ha elegido en el apartado anterior exponer a las propuestas te</w:t>
      </w:r>
      <w:r w:rsidRPr="00861B5C">
        <w:rPr>
          <w:rFonts w:ascii="Myriad Pro" w:hAnsi="Myriad Pro"/>
          <w:sz w:val="24"/>
          <w:szCs w:val="24"/>
          <w:lang w:val="es-ES"/>
        </w:rPr>
        <w:t>ó</w:t>
      </w:r>
      <w:r w:rsidRPr="00861B5C">
        <w:rPr>
          <w:rFonts w:ascii="Myriad Pro" w:hAnsi="Myriad Pro"/>
          <w:sz w:val="24"/>
          <w:szCs w:val="24"/>
          <w:lang w:val="es-ES"/>
        </w:rPr>
        <w:t>ricas junto con sus objeciones, en este apartado se opta por evitar una nueva evalu</w:t>
      </w:r>
      <w:r w:rsidRPr="00861B5C">
        <w:rPr>
          <w:rFonts w:ascii="Myriad Pro" w:hAnsi="Myriad Pro"/>
          <w:sz w:val="24"/>
          <w:szCs w:val="24"/>
          <w:lang w:val="es-ES"/>
        </w:rPr>
        <w:t>a</w:t>
      </w:r>
      <w:r w:rsidRPr="00861B5C">
        <w:rPr>
          <w:rFonts w:ascii="Myriad Pro" w:hAnsi="Myriad Pro"/>
          <w:sz w:val="24"/>
          <w:szCs w:val="24"/>
          <w:lang w:val="es-ES"/>
        </w:rPr>
        <w:t>ción de cada propuesta de tratamiento de las acciones neutrales, centrando el anál</w:t>
      </w:r>
      <w:r w:rsidRPr="00861B5C">
        <w:rPr>
          <w:rFonts w:ascii="Myriad Pro" w:hAnsi="Myriad Pro"/>
          <w:sz w:val="24"/>
          <w:szCs w:val="24"/>
          <w:lang w:val="es-ES"/>
        </w:rPr>
        <w:t>i</w:t>
      </w:r>
      <w:r w:rsidRPr="00861B5C">
        <w:rPr>
          <w:rFonts w:ascii="Myriad Pro" w:hAnsi="Myriad Pro"/>
          <w:sz w:val="24"/>
          <w:szCs w:val="24"/>
          <w:lang w:val="es-ES"/>
        </w:rPr>
        <w:t>sis en la necesidad de cambiar la perspectiva para abordar la discusión y el rend</w:t>
      </w:r>
      <w:r w:rsidRPr="00861B5C">
        <w:rPr>
          <w:rFonts w:ascii="Myriad Pro" w:hAnsi="Myriad Pro"/>
          <w:sz w:val="24"/>
          <w:szCs w:val="24"/>
          <w:lang w:val="es-ES"/>
        </w:rPr>
        <w:t>i</w:t>
      </w:r>
      <w:r w:rsidRPr="00861B5C">
        <w:rPr>
          <w:rFonts w:ascii="Myriad Pro" w:hAnsi="Myriad Pro"/>
          <w:sz w:val="24"/>
          <w:szCs w:val="24"/>
          <w:lang w:val="es-ES"/>
        </w:rPr>
        <w:t xml:space="preserve">miento teórico que ello puede conllevar. </w:t>
      </w:r>
    </w:p>
    <w:p w14:paraId="2BF67654" w14:textId="77777777" w:rsidR="00C67EE0" w:rsidRPr="00C67EE0" w:rsidRDefault="00C67EE0" w:rsidP="00C67EE0">
      <w:pPr>
        <w:spacing w:line="240" w:lineRule="auto"/>
        <w:jc w:val="center"/>
        <w:rPr>
          <w:rFonts w:ascii="Myriad Pro" w:hAnsi="Myriad Pro"/>
          <w:sz w:val="24"/>
          <w:szCs w:val="24"/>
          <w:lang w:val="es-ES"/>
        </w:rPr>
      </w:pPr>
    </w:p>
    <w:p w14:paraId="20647D78" w14:textId="12D9CB19" w:rsidR="00E64C01" w:rsidRPr="00C67EE0" w:rsidRDefault="00E64C01" w:rsidP="00C67EE0">
      <w:pPr>
        <w:spacing w:line="240" w:lineRule="auto"/>
        <w:jc w:val="center"/>
        <w:rPr>
          <w:rFonts w:ascii="Myriad Pro" w:hAnsi="Myriad Pro"/>
          <w:b/>
          <w:sz w:val="28"/>
          <w:szCs w:val="28"/>
          <w:lang w:val="es-ES"/>
        </w:rPr>
      </w:pPr>
      <w:r w:rsidRPr="00C67EE0">
        <w:rPr>
          <w:rFonts w:ascii="Myriad Pro" w:hAnsi="Myriad Pro"/>
          <w:b/>
          <w:sz w:val="28"/>
          <w:szCs w:val="28"/>
          <w:lang w:val="es-ES"/>
        </w:rPr>
        <w:t xml:space="preserve">2.1. </w:t>
      </w:r>
      <w:r w:rsidR="00861B5C" w:rsidRPr="00C67EE0">
        <w:rPr>
          <w:rFonts w:ascii="Myriad Pro" w:hAnsi="Myriad Pro"/>
          <w:b/>
          <w:sz w:val="28"/>
          <w:szCs w:val="28"/>
          <w:lang w:val="es-ES"/>
        </w:rPr>
        <w:t>La identificación de los distintos niveles de la discusión</w:t>
      </w:r>
    </w:p>
    <w:p w14:paraId="3C25FB6A" w14:textId="77777777" w:rsidR="00C67EE0" w:rsidRDefault="00C67EE0" w:rsidP="00C67EE0">
      <w:pPr>
        <w:pStyle w:val="Textonotapie"/>
        <w:spacing w:before="200" w:after="200"/>
        <w:contextualSpacing/>
        <w:jc w:val="both"/>
        <w:rPr>
          <w:rFonts w:ascii="Myriad Pro" w:hAnsi="Myriad Pro"/>
          <w:sz w:val="24"/>
          <w:szCs w:val="24"/>
          <w:lang w:val="es-ES"/>
        </w:rPr>
      </w:pPr>
    </w:p>
    <w:p w14:paraId="48A8EDEB" w14:textId="7B6482DD" w:rsidR="00861B5C" w:rsidRPr="00861B5C" w:rsidRDefault="00861B5C" w:rsidP="00861B5C">
      <w:pPr>
        <w:pStyle w:val="Textonotapie"/>
        <w:spacing w:before="200" w:after="200" w:line="276" w:lineRule="auto"/>
        <w:contextualSpacing/>
        <w:jc w:val="both"/>
        <w:rPr>
          <w:rFonts w:ascii="Garamond" w:hAnsi="Garamond"/>
          <w:sz w:val="24"/>
          <w:szCs w:val="24"/>
          <w:lang w:val="es-ES"/>
        </w:rPr>
      </w:pPr>
      <w:r>
        <w:rPr>
          <w:rFonts w:ascii="Myriad Pro" w:hAnsi="Myriad Pro"/>
          <w:sz w:val="24"/>
          <w:szCs w:val="24"/>
          <w:lang w:val="es-ES"/>
        </w:rPr>
        <w:tab/>
      </w:r>
      <w:r w:rsidRPr="00861B5C">
        <w:rPr>
          <w:rFonts w:ascii="Myriad Pro" w:hAnsi="Myriad Pro"/>
          <w:sz w:val="24"/>
          <w:szCs w:val="24"/>
          <w:lang w:val="es-ES"/>
        </w:rPr>
        <w:t>La primera tarea a la que nos vemos enfrentado, es la ordenación del estado de la discusión y sus implicaciones. La discusión tiene distintos niveles, y se vincula con distintos requisitos teóricos. Por una parte se encuentran quienes, desde un pu</w:t>
      </w:r>
      <w:r w:rsidRPr="00861B5C">
        <w:rPr>
          <w:rFonts w:ascii="Myriad Pro" w:hAnsi="Myriad Pro"/>
          <w:sz w:val="24"/>
          <w:szCs w:val="24"/>
          <w:lang w:val="es-ES"/>
        </w:rPr>
        <w:t>n</w:t>
      </w:r>
      <w:r w:rsidRPr="00861B5C">
        <w:rPr>
          <w:rFonts w:ascii="Myriad Pro" w:hAnsi="Myriad Pro"/>
          <w:sz w:val="24"/>
          <w:szCs w:val="24"/>
          <w:lang w:val="es-ES"/>
        </w:rPr>
        <w:t xml:space="preserve">to de vista propio de la política criminal, abogan a favor –típicamente debido a la utilidad de la actividad, el derecho fundamental de la </w:t>
      </w:r>
      <w:r>
        <w:rPr>
          <w:rFonts w:ascii="Myriad Pro" w:hAnsi="Myriad Pro"/>
          <w:sz w:val="24"/>
          <w:szCs w:val="24"/>
          <w:lang w:val="es-ES"/>
        </w:rPr>
        <w:t>GG</w:t>
      </w:r>
      <w:r w:rsidRPr="00861B5C">
        <w:rPr>
          <w:rFonts w:ascii="Myriad Pro" w:hAnsi="Myriad Pro"/>
          <w:sz w:val="24"/>
          <w:szCs w:val="24"/>
          <w:lang w:val="es-ES"/>
        </w:rPr>
        <w:t xml:space="preserve"> (1949, art. 12) y la inad</w:t>
      </w:r>
      <w:r w:rsidRPr="00861B5C">
        <w:rPr>
          <w:rFonts w:ascii="Myriad Pro" w:hAnsi="Myriad Pro"/>
          <w:sz w:val="24"/>
          <w:szCs w:val="24"/>
          <w:lang w:val="es-ES"/>
        </w:rPr>
        <w:t>e</w:t>
      </w:r>
      <w:r w:rsidRPr="00861B5C">
        <w:rPr>
          <w:rFonts w:ascii="Myriad Pro" w:hAnsi="Myriad Pro"/>
          <w:sz w:val="24"/>
          <w:szCs w:val="24"/>
          <w:lang w:val="es-ES"/>
        </w:rPr>
        <w:t>cuación de una prohibición general de una actividad lícita– (</w:t>
      </w:r>
      <w:r w:rsidRPr="00861B5C">
        <w:rPr>
          <w:rFonts w:ascii="Myriad Pro" w:hAnsi="Myriad Pro"/>
          <w:sz w:val="24"/>
          <w:szCs w:val="24"/>
        </w:rPr>
        <w:t>Kudlich, 2004, p.</w:t>
      </w:r>
      <w:r w:rsidRPr="00861B5C">
        <w:rPr>
          <w:rFonts w:ascii="Myriad Pro" w:hAnsi="Myriad Pro" w:cs="Calibri (Cuerpo en alfabeto com"/>
          <w:smallCaps/>
          <w:sz w:val="24"/>
          <w:szCs w:val="24"/>
        </w:rPr>
        <w:t xml:space="preserve"> </w:t>
      </w:r>
      <w:r w:rsidRPr="00861B5C">
        <w:rPr>
          <w:rFonts w:ascii="Myriad Pro" w:hAnsi="Myriad Pro" w:cs="Times New Roman"/>
          <w:sz w:val="24"/>
          <w:szCs w:val="24"/>
        </w:rPr>
        <w:t>289 y ss.)</w:t>
      </w:r>
      <w:r w:rsidRPr="00861B5C">
        <w:rPr>
          <w:rStyle w:val="Ancladenotaalpie"/>
          <w:rFonts w:ascii="Myriad Pro" w:hAnsi="Myriad Pro"/>
          <w:sz w:val="24"/>
          <w:szCs w:val="24"/>
        </w:rPr>
        <w:footnoteReference w:id="51"/>
      </w:r>
      <w:r w:rsidRPr="00861B5C">
        <w:rPr>
          <w:rFonts w:ascii="Myriad Pro" w:hAnsi="Myriad Pro" w:cs="Times New Roman"/>
          <w:sz w:val="24"/>
          <w:szCs w:val="24"/>
        </w:rPr>
        <w:t>,</w:t>
      </w:r>
      <w:r w:rsidRPr="00861B5C">
        <w:rPr>
          <w:rFonts w:ascii="Myriad Pro" w:hAnsi="Myriad Pro"/>
          <w:sz w:val="24"/>
          <w:szCs w:val="24"/>
          <w:lang w:val="es-ES"/>
        </w:rPr>
        <w:t xml:space="preserve"> o en contra de una restricción de la punibilidad en este ámbito basada en un </w:t>
      </w:r>
      <w:r w:rsidRPr="00861B5C">
        <w:rPr>
          <w:rFonts w:ascii="Myriad Pro" w:hAnsi="Myriad Pro"/>
          <w:i/>
          <w:iCs/>
          <w:sz w:val="24"/>
          <w:szCs w:val="24"/>
          <w:lang w:val="es-ES"/>
        </w:rPr>
        <w:t xml:space="preserve">privilegio profesional </w:t>
      </w:r>
      <w:r w:rsidRPr="00861B5C">
        <w:rPr>
          <w:rFonts w:ascii="Myriad Pro" w:hAnsi="Myriad Pro"/>
          <w:iCs/>
          <w:sz w:val="24"/>
          <w:szCs w:val="24"/>
          <w:lang w:val="es-ES"/>
        </w:rPr>
        <w:t>(</w:t>
      </w:r>
      <w:r w:rsidRPr="00861B5C">
        <w:rPr>
          <w:rFonts w:ascii="Myriad Pro" w:hAnsi="Myriad Pro"/>
          <w:sz w:val="24"/>
          <w:szCs w:val="24"/>
        </w:rPr>
        <w:t>ver solamente Beckemper, 2001, p. 169).</w:t>
      </w:r>
      <w:r w:rsidRPr="00861B5C">
        <w:rPr>
          <w:rFonts w:ascii="Myriad Pro" w:hAnsi="Myriad Pro"/>
          <w:sz w:val="24"/>
          <w:szCs w:val="24"/>
          <w:lang w:val="es-ES"/>
        </w:rPr>
        <w:t xml:space="preserve"> Por otra parte, se e</w:t>
      </w:r>
      <w:r w:rsidRPr="00861B5C">
        <w:rPr>
          <w:rFonts w:ascii="Myriad Pro" w:hAnsi="Myriad Pro"/>
          <w:sz w:val="24"/>
          <w:szCs w:val="24"/>
          <w:lang w:val="es-ES"/>
        </w:rPr>
        <w:t>n</w:t>
      </w:r>
      <w:r w:rsidRPr="00861B5C">
        <w:rPr>
          <w:rFonts w:ascii="Myriad Pro" w:hAnsi="Myriad Pro"/>
          <w:sz w:val="24"/>
          <w:szCs w:val="24"/>
          <w:lang w:val="es-ES"/>
        </w:rPr>
        <w:t>cuentran los argumentos a favor y en contra de determinadas propuestas restrictivas, como disputa dogmática con pretensiones de verosimilitud sobre el Derecho vige</w:t>
      </w:r>
      <w:r w:rsidRPr="00861B5C">
        <w:rPr>
          <w:rFonts w:ascii="Myriad Pro" w:hAnsi="Myriad Pro"/>
          <w:sz w:val="24"/>
          <w:szCs w:val="24"/>
          <w:lang w:val="es-ES"/>
        </w:rPr>
        <w:t>n</w:t>
      </w:r>
      <w:r w:rsidRPr="00861B5C">
        <w:rPr>
          <w:rFonts w:ascii="Myriad Pro" w:hAnsi="Myriad Pro"/>
          <w:sz w:val="24"/>
          <w:szCs w:val="24"/>
          <w:lang w:val="es-ES"/>
        </w:rPr>
        <w:t xml:space="preserve">te. Dichas teorías, comienzan su argumentación (en mayor o menor medida) con la constatación de que no habría una verdadera restricción legal para la exclusión de las acciones neutrales del ámbito de lo punible a título de complicidad. Así, de acuerdo con este punto de partida, cada contribución causal </w:t>
      </w:r>
      <w:r w:rsidRPr="00861B5C">
        <w:rPr>
          <w:rFonts w:ascii="Myriad Pro" w:hAnsi="Myriad Pro"/>
          <w:sz w:val="24"/>
          <w:szCs w:val="24"/>
          <w:lang w:val="es-ES_tradnl"/>
        </w:rPr>
        <w:t>—</w:t>
      </w:r>
      <w:r w:rsidRPr="00861B5C">
        <w:rPr>
          <w:rFonts w:ascii="Myriad Pro" w:hAnsi="Myriad Pro"/>
          <w:sz w:val="24"/>
          <w:szCs w:val="24"/>
          <w:lang w:val="es-ES"/>
        </w:rPr>
        <w:t>en el sentido de la</w:t>
      </w:r>
      <w:r w:rsidRPr="00861B5C">
        <w:rPr>
          <w:rFonts w:ascii="Myriad Pro" w:hAnsi="Myriad Pro"/>
          <w:i/>
          <w:iCs/>
          <w:sz w:val="24"/>
          <w:szCs w:val="24"/>
          <w:lang w:val="es-ES"/>
        </w:rPr>
        <w:t xml:space="preserve"> conditio sine qua non</w:t>
      </w:r>
      <w:r w:rsidRPr="00861B5C">
        <w:rPr>
          <w:rFonts w:ascii="Myriad Pro" w:hAnsi="Myriad Pro"/>
          <w:sz w:val="24"/>
          <w:szCs w:val="24"/>
          <w:lang w:val="es-ES_tradnl"/>
        </w:rPr>
        <w:t>—</w:t>
      </w:r>
      <w:r w:rsidRPr="00861B5C">
        <w:rPr>
          <w:rFonts w:ascii="Myriad Pro" w:hAnsi="Myriad Pro"/>
          <w:sz w:val="24"/>
          <w:szCs w:val="24"/>
          <w:lang w:val="es-ES"/>
        </w:rPr>
        <w:t xml:space="preserve"> puede ser visto como una contribución punible para el resultado d</w:t>
      </w:r>
      <w:r w:rsidRPr="00861B5C">
        <w:rPr>
          <w:rFonts w:ascii="Myriad Pro" w:hAnsi="Myriad Pro"/>
          <w:sz w:val="24"/>
          <w:szCs w:val="24"/>
          <w:lang w:val="es-ES"/>
        </w:rPr>
        <w:t>e</w:t>
      </w:r>
      <w:r w:rsidRPr="00861B5C">
        <w:rPr>
          <w:rFonts w:ascii="Myriad Pro" w:hAnsi="Myriad Pro"/>
          <w:sz w:val="24"/>
          <w:szCs w:val="24"/>
          <w:lang w:val="es-ES"/>
        </w:rPr>
        <w:t>lictivo, ya sea a título de autoría o de complicidad. Así, sería la función de una teoría de la imputación objetiva o de la categoría de la imputación subjetiva, situar los fi</w:t>
      </w:r>
      <w:r w:rsidRPr="00861B5C">
        <w:rPr>
          <w:rFonts w:ascii="Myriad Pro" w:hAnsi="Myriad Pro"/>
          <w:sz w:val="24"/>
          <w:szCs w:val="24"/>
          <w:lang w:val="es-ES"/>
        </w:rPr>
        <w:t>l</w:t>
      </w:r>
      <w:r w:rsidRPr="00861B5C">
        <w:rPr>
          <w:rFonts w:ascii="Myriad Pro" w:hAnsi="Myriad Pro"/>
          <w:sz w:val="24"/>
          <w:szCs w:val="24"/>
          <w:lang w:val="es-ES"/>
        </w:rPr>
        <w:t>tros adecuados para evitar sancionar dichas conductas. El problema, es que aquellas implicaciones usualmente no escritas pueden ser erróneas, y cuando los presupue</w:t>
      </w:r>
      <w:r w:rsidRPr="00861B5C">
        <w:rPr>
          <w:rFonts w:ascii="Myriad Pro" w:hAnsi="Myriad Pro"/>
          <w:sz w:val="24"/>
          <w:szCs w:val="24"/>
          <w:lang w:val="es-ES"/>
        </w:rPr>
        <w:t>s</w:t>
      </w:r>
      <w:r w:rsidRPr="00861B5C">
        <w:rPr>
          <w:rFonts w:ascii="Myriad Pro" w:hAnsi="Myriad Pro"/>
          <w:sz w:val="24"/>
          <w:szCs w:val="24"/>
          <w:lang w:val="es-ES"/>
        </w:rPr>
        <w:t>tos no son los correctos, las conclusiones que se siguen de ellos suelen ser asimismo incorrectas o devenir las correcciones postuladas simplemente en innecesarias. Para asumir la necesidad de excluir de la punibilidad a las denominadas acciones neutr</w:t>
      </w:r>
      <w:r w:rsidRPr="00861B5C">
        <w:rPr>
          <w:rFonts w:ascii="Myriad Pro" w:hAnsi="Myriad Pro"/>
          <w:sz w:val="24"/>
          <w:szCs w:val="24"/>
          <w:lang w:val="es-ES"/>
        </w:rPr>
        <w:t>a</w:t>
      </w:r>
      <w:r w:rsidRPr="00861B5C">
        <w:rPr>
          <w:rFonts w:ascii="Myriad Pro" w:hAnsi="Myriad Pro"/>
          <w:sz w:val="24"/>
          <w:szCs w:val="24"/>
          <w:lang w:val="es-ES"/>
        </w:rPr>
        <w:t>les o profesionales en niveles posteriores del análisis de la teoría del delito, primero debe aceptarse dicho punto de partida: que aquellas conductas satisfacen el supue</w:t>
      </w:r>
      <w:r w:rsidRPr="00861B5C">
        <w:rPr>
          <w:rFonts w:ascii="Myriad Pro" w:hAnsi="Myriad Pro"/>
          <w:sz w:val="24"/>
          <w:szCs w:val="24"/>
          <w:lang w:val="es-ES"/>
        </w:rPr>
        <w:t>s</w:t>
      </w:r>
      <w:r w:rsidRPr="00861B5C">
        <w:rPr>
          <w:rFonts w:ascii="Myriad Pro" w:hAnsi="Myriad Pro"/>
          <w:sz w:val="24"/>
          <w:szCs w:val="24"/>
          <w:lang w:val="es-ES"/>
        </w:rPr>
        <w:t>to de hecho previsto en la regla de comportamiento que extiende la punibilidad al cómplice, en tanto dicha norma establecería como requisito la necesidad de que la conducta del cómplice sea una condición necesaria para el resultado, respondiendo así a un paradigma causalista de la participación.</w:t>
      </w:r>
      <w:r w:rsidRPr="00861B5C">
        <w:rPr>
          <w:rFonts w:ascii="Garamond" w:hAnsi="Garamond"/>
          <w:sz w:val="24"/>
          <w:szCs w:val="24"/>
          <w:lang w:val="es-ES"/>
        </w:rPr>
        <w:t xml:space="preserve">  </w:t>
      </w:r>
    </w:p>
    <w:p w14:paraId="13BC2292" w14:textId="77777777" w:rsidR="00861B5C" w:rsidRPr="00861B5C" w:rsidRDefault="00861B5C" w:rsidP="00861B5C">
      <w:pPr>
        <w:spacing w:before="200"/>
        <w:jc w:val="both"/>
        <w:rPr>
          <w:rFonts w:ascii="Myriad Pro" w:hAnsi="Myriad Pro"/>
          <w:sz w:val="24"/>
          <w:szCs w:val="24"/>
          <w:lang w:val="es-ES"/>
        </w:rPr>
      </w:pPr>
      <w:r w:rsidRPr="00861B5C">
        <w:rPr>
          <w:rFonts w:ascii="Myriad Pro" w:hAnsi="Myriad Pro"/>
          <w:sz w:val="24"/>
          <w:szCs w:val="24"/>
          <w:lang w:val="es-ES"/>
        </w:rPr>
        <w:tab/>
        <w:t xml:space="preserve">Sin considerar los distintos niveles de la discusión, las teorías se presentan como una disputa lingüística sobre determinadas formas jurídicas a las que se puede recurrir indistintamente para solucionar el problema. Sin embargo, la diferencia entre </w:t>
      </w:r>
      <w:r w:rsidRPr="00861B5C">
        <w:rPr>
          <w:rFonts w:ascii="Myriad Pro" w:hAnsi="Myriad Pro"/>
          <w:sz w:val="24"/>
          <w:szCs w:val="24"/>
          <w:lang w:val="es-ES"/>
        </w:rPr>
        <w:lastRenderedPageBreak/>
        <w:t>las teorías no se basa solamente en sus criterios restrictivos (superficiales) y concl</w:t>
      </w:r>
      <w:r w:rsidRPr="00861B5C">
        <w:rPr>
          <w:rFonts w:ascii="Myriad Pro" w:hAnsi="Myriad Pro"/>
          <w:sz w:val="24"/>
          <w:szCs w:val="24"/>
          <w:lang w:val="es-ES"/>
        </w:rPr>
        <w:t>u</w:t>
      </w:r>
      <w:r w:rsidRPr="00861B5C">
        <w:rPr>
          <w:rFonts w:ascii="Myriad Pro" w:hAnsi="Myriad Pro"/>
          <w:sz w:val="24"/>
          <w:szCs w:val="24"/>
          <w:lang w:val="es-ES"/>
        </w:rPr>
        <w:t>siones para un determinado grupo de casos (por ejemplo, sobre la adecuación social o profesional de un comportamiento, la relación de sentido delictivo, el carácter esencial o no de una contribución, la reconocible disposición al hecho del autor, etc.), sino que también tanto en relación a sus presupuestos e implicancias como su grado de vinculación con el Derecho vigente y su integración con el sistema jurídico penal en su conjunto. En la medida que las propuestas teóricas, son planteadas como apl</w:t>
      </w:r>
      <w:r w:rsidRPr="00861B5C">
        <w:rPr>
          <w:rFonts w:ascii="Myriad Pro" w:hAnsi="Myriad Pro"/>
          <w:sz w:val="24"/>
          <w:szCs w:val="24"/>
          <w:lang w:val="es-ES"/>
        </w:rPr>
        <w:t>i</w:t>
      </w:r>
      <w:r w:rsidRPr="00861B5C">
        <w:rPr>
          <w:rFonts w:ascii="Myriad Pro" w:hAnsi="Myriad Pro"/>
          <w:sz w:val="24"/>
          <w:szCs w:val="24"/>
          <w:lang w:val="es-ES"/>
        </w:rPr>
        <w:t>caciones pretendidamente idóneas de dichas teorías para resolver un problema co</w:t>
      </w:r>
      <w:r w:rsidRPr="00861B5C">
        <w:rPr>
          <w:rFonts w:ascii="Myriad Pro" w:hAnsi="Myriad Pro"/>
          <w:sz w:val="24"/>
          <w:szCs w:val="24"/>
          <w:lang w:val="es-ES"/>
        </w:rPr>
        <w:t>n</w:t>
      </w:r>
      <w:r w:rsidRPr="00861B5C">
        <w:rPr>
          <w:rFonts w:ascii="Myriad Pro" w:hAnsi="Myriad Pro"/>
          <w:sz w:val="24"/>
          <w:szCs w:val="24"/>
          <w:lang w:val="es-ES"/>
        </w:rPr>
        <w:t>creto de interpretación y/o aplicación del Derecho vigente. Así, resulta imprescind</w:t>
      </w:r>
      <w:r w:rsidRPr="00861B5C">
        <w:rPr>
          <w:rFonts w:ascii="Myriad Pro" w:hAnsi="Myriad Pro"/>
          <w:sz w:val="24"/>
          <w:szCs w:val="24"/>
          <w:lang w:val="es-ES"/>
        </w:rPr>
        <w:t>i</w:t>
      </w:r>
      <w:r w:rsidRPr="00861B5C">
        <w:rPr>
          <w:rFonts w:ascii="Myriad Pro" w:hAnsi="Myriad Pro"/>
          <w:sz w:val="24"/>
          <w:szCs w:val="24"/>
          <w:lang w:val="es-ES"/>
        </w:rPr>
        <w:t>ble atender a todos los niveles de la discusión para alcanzar la correcta perspectiva para evaluar a las diversas teorías dogmáticas que pretenden dar una respuesta r</w:t>
      </w:r>
      <w:r w:rsidRPr="00861B5C">
        <w:rPr>
          <w:rFonts w:ascii="Myriad Pro" w:hAnsi="Myriad Pro"/>
          <w:sz w:val="24"/>
          <w:szCs w:val="24"/>
          <w:lang w:val="es-ES"/>
        </w:rPr>
        <w:t>a</w:t>
      </w:r>
      <w:r w:rsidRPr="00861B5C">
        <w:rPr>
          <w:rFonts w:ascii="Myriad Pro" w:hAnsi="Myriad Pro"/>
          <w:sz w:val="24"/>
          <w:szCs w:val="24"/>
          <w:lang w:val="es-ES"/>
        </w:rPr>
        <w:t xml:space="preserve">cional a este problema. </w:t>
      </w:r>
      <w:r w:rsidRPr="00861B5C">
        <w:rPr>
          <w:rFonts w:ascii="Myriad Pro" w:hAnsi="Myriad Pro"/>
          <w:sz w:val="24"/>
          <w:szCs w:val="24"/>
        </w:rPr>
        <w:t>Sobre las pretensiones de racionalidad del discurso dogmát</w:t>
      </w:r>
      <w:r w:rsidRPr="00861B5C">
        <w:rPr>
          <w:rFonts w:ascii="Myriad Pro" w:hAnsi="Myriad Pro"/>
          <w:sz w:val="24"/>
          <w:szCs w:val="24"/>
        </w:rPr>
        <w:t>i</w:t>
      </w:r>
      <w:r w:rsidRPr="00861B5C">
        <w:rPr>
          <w:rFonts w:ascii="Myriad Pro" w:hAnsi="Myriad Pro"/>
          <w:sz w:val="24"/>
          <w:szCs w:val="24"/>
        </w:rPr>
        <w:t>co y la forma de evaluar disputas dogmáticas, ver Schurmann Opazo (2019, p. 567 y ss).</w:t>
      </w:r>
    </w:p>
    <w:p w14:paraId="3386F87B" w14:textId="77777777" w:rsidR="00861B5C" w:rsidRDefault="00861B5C" w:rsidP="00861B5C">
      <w:pPr>
        <w:pStyle w:val="Textonotapie"/>
        <w:spacing w:before="200" w:after="200" w:line="276" w:lineRule="auto"/>
        <w:contextualSpacing/>
        <w:jc w:val="both"/>
        <w:rPr>
          <w:rFonts w:ascii="Myriad Pro" w:hAnsi="Myriad Pro"/>
          <w:sz w:val="24"/>
          <w:szCs w:val="24"/>
          <w:lang w:val="es-ES"/>
        </w:rPr>
      </w:pPr>
      <w:r w:rsidRPr="00861B5C">
        <w:rPr>
          <w:rFonts w:ascii="Myriad Pro" w:hAnsi="Myriad Pro"/>
          <w:sz w:val="24"/>
          <w:szCs w:val="24"/>
          <w:lang w:val="es-ES"/>
        </w:rPr>
        <w:tab/>
        <w:t>De esta forma, las dificultades que se presentan para el tratamiento dogmát</w:t>
      </w:r>
      <w:r w:rsidRPr="00861B5C">
        <w:rPr>
          <w:rFonts w:ascii="Myriad Pro" w:hAnsi="Myriad Pro"/>
          <w:sz w:val="24"/>
          <w:szCs w:val="24"/>
          <w:lang w:val="es-ES"/>
        </w:rPr>
        <w:t>i</w:t>
      </w:r>
      <w:r w:rsidRPr="00861B5C">
        <w:rPr>
          <w:rFonts w:ascii="Myriad Pro" w:hAnsi="Myriad Pro"/>
          <w:sz w:val="24"/>
          <w:szCs w:val="24"/>
          <w:lang w:val="es-ES"/>
        </w:rPr>
        <w:t>co de este tipo de comportamientos no radican en el carácter no sospechoso de la conducta, sino que se basan principalmente en falta de procesamiento del problema mediante las categorías dogmáticas correctas, esto es, el reconocimiento de la rel</w:t>
      </w:r>
      <w:r w:rsidRPr="00861B5C">
        <w:rPr>
          <w:rFonts w:ascii="Myriad Pro" w:hAnsi="Myriad Pro"/>
          <w:sz w:val="24"/>
          <w:szCs w:val="24"/>
          <w:lang w:val="es-ES"/>
        </w:rPr>
        <w:t>e</w:t>
      </w:r>
      <w:r w:rsidRPr="00861B5C">
        <w:rPr>
          <w:rFonts w:ascii="Myriad Pro" w:hAnsi="Myriad Pro"/>
          <w:sz w:val="24"/>
          <w:szCs w:val="24"/>
          <w:lang w:val="es-ES"/>
        </w:rPr>
        <w:t>vancia de los requisitos legales de la complicidad y (mediatamente) del fundamento de la punibilidad del partícipe. Ante la supuesta ausencia de criterios restrictivos en el tenor literal de la regulación legal de la complicidad, la discusión ha avanzado de la mano de criterios generales de la responsabilidad penal, perdiendo de vista la esp</w:t>
      </w:r>
      <w:r w:rsidRPr="00861B5C">
        <w:rPr>
          <w:rFonts w:ascii="Myriad Pro" w:hAnsi="Myriad Pro"/>
          <w:sz w:val="24"/>
          <w:szCs w:val="24"/>
          <w:lang w:val="es-ES"/>
        </w:rPr>
        <w:t>e</w:t>
      </w:r>
      <w:r w:rsidRPr="00861B5C">
        <w:rPr>
          <w:rFonts w:ascii="Myriad Pro" w:hAnsi="Myriad Pro"/>
          <w:sz w:val="24"/>
          <w:szCs w:val="24"/>
          <w:lang w:val="es-ES"/>
        </w:rPr>
        <w:t>cificidad de la extensión de la punibilidad al partícipe por la realización de un hecho punible de otro. El fundamento penal de la complicidad suele transitar entre dos consideraciones: el principio de responsabilidad por el hecho propio o de auto re</w:t>
      </w:r>
      <w:r w:rsidRPr="00861B5C">
        <w:rPr>
          <w:rFonts w:ascii="Myriad Pro" w:hAnsi="Myriad Pro"/>
          <w:sz w:val="24"/>
          <w:szCs w:val="24"/>
          <w:lang w:val="es-ES"/>
        </w:rPr>
        <w:t>s</w:t>
      </w:r>
      <w:r w:rsidRPr="00861B5C">
        <w:rPr>
          <w:rFonts w:ascii="Myriad Pro" w:hAnsi="Myriad Pro"/>
          <w:sz w:val="24"/>
          <w:szCs w:val="24"/>
          <w:lang w:val="es-ES"/>
        </w:rPr>
        <w:t>ponsabilidad y el carácter accesorio de la complicidad, la que se encuentra en una determinada relación con el injusto del autor principal. Ambos elementos son nec</w:t>
      </w:r>
      <w:r w:rsidRPr="00861B5C">
        <w:rPr>
          <w:rFonts w:ascii="Myriad Pro" w:hAnsi="Myriad Pro"/>
          <w:sz w:val="24"/>
          <w:szCs w:val="24"/>
          <w:lang w:val="es-ES"/>
        </w:rPr>
        <w:t>e</w:t>
      </w:r>
      <w:r w:rsidRPr="00861B5C">
        <w:rPr>
          <w:rFonts w:ascii="Myriad Pro" w:hAnsi="Myriad Pro"/>
          <w:sz w:val="24"/>
          <w:szCs w:val="24"/>
          <w:lang w:val="es-ES"/>
        </w:rPr>
        <w:t>sarios –</w:t>
      </w:r>
      <w:r w:rsidRPr="00861B5C">
        <w:rPr>
          <w:rFonts w:ascii="Myriad Pro" w:hAnsi="Myriad Pro"/>
          <w:sz w:val="24"/>
          <w:szCs w:val="24"/>
        </w:rPr>
        <w:t>una completa exposición del problema se encuentra en Roxin (1993a, p. 365 y ss.). Para una exposición resumida ver Kindhäuser (2015b, p. 332</w:t>
      </w:r>
      <w:proofErr w:type="gramStart"/>
      <w:r w:rsidRPr="00861B5C">
        <w:rPr>
          <w:rFonts w:ascii="Myriad Pro" w:hAnsi="Myriad Pro"/>
          <w:sz w:val="24"/>
          <w:szCs w:val="24"/>
        </w:rPr>
        <w:t>)–</w:t>
      </w:r>
      <w:proofErr w:type="gramEnd"/>
      <w:r w:rsidRPr="00861B5C">
        <w:rPr>
          <w:rFonts w:ascii="Myriad Pro" w:hAnsi="Myriad Pro"/>
          <w:sz w:val="24"/>
          <w:szCs w:val="24"/>
        </w:rPr>
        <w:t xml:space="preserve"> </w:t>
      </w:r>
      <w:r w:rsidRPr="00861B5C">
        <w:rPr>
          <w:rFonts w:ascii="Myriad Pro" w:hAnsi="Myriad Pro"/>
          <w:sz w:val="24"/>
          <w:szCs w:val="24"/>
          <w:lang w:val="es-ES"/>
        </w:rPr>
        <w:t>para fundar la p</w:t>
      </w:r>
      <w:r w:rsidRPr="00861B5C">
        <w:rPr>
          <w:rFonts w:ascii="Myriad Pro" w:hAnsi="Myriad Pro"/>
          <w:sz w:val="24"/>
          <w:szCs w:val="24"/>
          <w:lang w:val="es-ES"/>
        </w:rPr>
        <w:t>u</w:t>
      </w:r>
      <w:r w:rsidRPr="00861B5C">
        <w:rPr>
          <w:rFonts w:ascii="Myriad Pro" w:hAnsi="Myriad Pro"/>
          <w:sz w:val="24"/>
          <w:szCs w:val="24"/>
          <w:lang w:val="es-ES"/>
        </w:rPr>
        <w:t>nibilidad del partícipe, sin embargo, la correcta articulación de dichos principios permite comprender cómo debe ser analizado el comportamiento del cómplice por las categorías tradicionales de la teoría del delito. Así, primero se debe determinar, por ejemplo, si el comportamiento del cómplice debe ser causal para el resultado delictivo, para luego discutir la pertinencia de la teoría de la imputación objetiva (al menos en su dimensión como selector de cursos causales penalmente relevantes) para la teoría de la autoría y participación</w:t>
      </w:r>
      <w:r w:rsidRPr="00861B5C">
        <w:rPr>
          <w:rStyle w:val="Refdenotaalpie"/>
          <w:rFonts w:ascii="Myriad Pro" w:hAnsi="Myriad Pro"/>
          <w:sz w:val="24"/>
          <w:szCs w:val="24"/>
          <w:lang w:val="es-ES"/>
        </w:rPr>
        <w:footnoteReference w:id="52"/>
      </w:r>
      <w:r w:rsidRPr="00861B5C">
        <w:rPr>
          <w:rFonts w:ascii="Myriad Pro" w:hAnsi="Myriad Pro"/>
          <w:sz w:val="24"/>
          <w:szCs w:val="24"/>
          <w:lang w:val="es-ES"/>
        </w:rPr>
        <w:t xml:space="preserve">. El carácter accesorio de la complicidad, </w:t>
      </w:r>
      <w:r w:rsidRPr="00861B5C">
        <w:rPr>
          <w:rFonts w:ascii="Myriad Pro" w:hAnsi="Myriad Pro"/>
          <w:sz w:val="24"/>
          <w:szCs w:val="24"/>
          <w:lang w:val="es-ES"/>
        </w:rPr>
        <w:lastRenderedPageBreak/>
        <w:t>por su parte, permite esbozar la primera conclusión: una consideración exclusiv</w:t>
      </w:r>
      <w:r w:rsidRPr="00861B5C">
        <w:rPr>
          <w:rFonts w:ascii="Myriad Pro" w:hAnsi="Myriad Pro"/>
          <w:sz w:val="24"/>
          <w:szCs w:val="24"/>
          <w:lang w:val="es-ES"/>
        </w:rPr>
        <w:t>a</w:t>
      </w:r>
      <w:r w:rsidRPr="00861B5C">
        <w:rPr>
          <w:rFonts w:ascii="Myriad Pro" w:hAnsi="Myriad Pro"/>
          <w:sz w:val="24"/>
          <w:szCs w:val="24"/>
          <w:lang w:val="es-ES"/>
        </w:rPr>
        <w:t>mente aislada de la acción de complicidad, no permite formular una adecuada di</w:t>
      </w:r>
      <w:r w:rsidRPr="00861B5C">
        <w:rPr>
          <w:rFonts w:ascii="Myriad Pro" w:hAnsi="Myriad Pro"/>
          <w:sz w:val="24"/>
          <w:szCs w:val="24"/>
          <w:lang w:val="es-ES"/>
        </w:rPr>
        <w:t>s</w:t>
      </w:r>
      <w:r w:rsidRPr="00861B5C">
        <w:rPr>
          <w:rFonts w:ascii="Myriad Pro" w:hAnsi="Myriad Pro"/>
          <w:sz w:val="24"/>
          <w:szCs w:val="24"/>
          <w:lang w:val="es-ES"/>
        </w:rPr>
        <w:t xml:space="preserve">tinción entre colaboraciones punibles de las impunes. Como acertadamente destacó Amelung (1999, p. 17; </w:t>
      </w:r>
      <w:r w:rsidRPr="00861B5C">
        <w:rPr>
          <w:rFonts w:ascii="Myriad Pro" w:hAnsi="Myriad Pro" w:cs="Times New Roman"/>
          <w:sz w:val="24"/>
          <w:szCs w:val="24"/>
        </w:rPr>
        <w:t xml:space="preserve">De acuerdo también </w:t>
      </w:r>
      <w:r w:rsidRPr="00861B5C">
        <w:rPr>
          <w:rFonts w:ascii="Myriad Pro" w:hAnsi="Myriad Pro"/>
          <w:sz w:val="24"/>
          <w:szCs w:val="24"/>
        </w:rPr>
        <w:t>Kindhäuser, 2015b, p.</w:t>
      </w:r>
      <w:r w:rsidRPr="00861B5C">
        <w:rPr>
          <w:rFonts w:ascii="Myriad Pro" w:hAnsi="Myriad Pro" w:cs="Times New Roman"/>
          <w:sz w:val="24"/>
          <w:szCs w:val="24"/>
        </w:rPr>
        <w:t xml:space="preserve"> 383</w:t>
      </w:r>
      <w:r w:rsidRPr="00861B5C">
        <w:rPr>
          <w:rFonts w:ascii="Myriad Pro" w:hAnsi="Myriad Pro"/>
          <w:sz w:val="24"/>
          <w:szCs w:val="24"/>
          <w:lang w:val="es-ES"/>
        </w:rPr>
        <w:t>), toda prest</w:t>
      </w:r>
      <w:r w:rsidRPr="00861B5C">
        <w:rPr>
          <w:rFonts w:ascii="Myriad Pro" w:hAnsi="Myriad Pro"/>
          <w:sz w:val="24"/>
          <w:szCs w:val="24"/>
          <w:lang w:val="es-ES"/>
        </w:rPr>
        <w:t>a</w:t>
      </w:r>
      <w:r w:rsidRPr="00861B5C">
        <w:rPr>
          <w:rFonts w:ascii="Myriad Pro" w:hAnsi="Myriad Pro"/>
          <w:sz w:val="24"/>
          <w:szCs w:val="24"/>
          <w:lang w:val="es-ES"/>
        </w:rPr>
        <w:t>ción de ayuda ejecutada en la etapa de actos preparatorios de un delito puede ser utilizada por el receptor para distintos fines. Es precisamente por ello que la “neutr</w:t>
      </w:r>
      <w:r w:rsidRPr="00861B5C">
        <w:rPr>
          <w:rFonts w:ascii="Myriad Pro" w:hAnsi="Myriad Pro"/>
          <w:sz w:val="24"/>
          <w:szCs w:val="24"/>
          <w:lang w:val="es-ES"/>
        </w:rPr>
        <w:t>a</w:t>
      </w:r>
      <w:r w:rsidRPr="00861B5C">
        <w:rPr>
          <w:rFonts w:ascii="Myriad Pro" w:hAnsi="Myriad Pro"/>
          <w:sz w:val="24"/>
          <w:szCs w:val="24"/>
          <w:lang w:val="es-ES"/>
        </w:rPr>
        <w:t>lidad” de una acción es un problema de su descripción</w:t>
      </w:r>
      <w:r w:rsidRPr="00861B5C">
        <w:rPr>
          <w:rStyle w:val="Ancladenotaalpie"/>
          <w:rFonts w:ascii="Myriad Pro" w:hAnsi="Myriad Pro"/>
          <w:sz w:val="24"/>
          <w:szCs w:val="24"/>
        </w:rPr>
        <w:footnoteReference w:id="53"/>
      </w:r>
      <w:r w:rsidRPr="00861B5C">
        <w:rPr>
          <w:rFonts w:ascii="Myriad Pro" w:hAnsi="Myriad Pro"/>
          <w:sz w:val="24"/>
          <w:szCs w:val="24"/>
          <w:lang w:val="es-ES"/>
        </w:rPr>
        <w:t>, y la descripción de dichos hechos deben ser analizados a partir de las categorías penales correctas.</w:t>
      </w:r>
    </w:p>
    <w:p w14:paraId="54329C19" w14:textId="77777777" w:rsidR="00C67EE0" w:rsidRPr="00861B5C" w:rsidRDefault="00C67EE0" w:rsidP="00861B5C">
      <w:pPr>
        <w:pStyle w:val="Textonotapie"/>
        <w:spacing w:before="200" w:after="200" w:line="276" w:lineRule="auto"/>
        <w:contextualSpacing/>
        <w:jc w:val="both"/>
        <w:rPr>
          <w:rFonts w:ascii="Myriad Pro" w:hAnsi="Myriad Pro"/>
          <w:sz w:val="24"/>
          <w:szCs w:val="24"/>
          <w:lang w:val="es-ES"/>
        </w:rPr>
      </w:pPr>
    </w:p>
    <w:p w14:paraId="2D3F7192" w14:textId="1B731E49" w:rsidR="00CA79A4" w:rsidRPr="00C67EE0" w:rsidRDefault="0053517B" w:rsidP="00C67EE0">
      <w:pPr>
        <w:spacing w:after="0"/>
        <w:jc w:val="center"/>
        <w:rPr>
          <w:rFonts w:ascii="Myriad Pro" w:hAnsi="Myriad Pro"/>
          <w:b/>
          <w:sz w:val="24"/>
          <w:szCs w:val="24"/>
        </w:rPr>
      </w:pPr>
      <w:bookmarkStart w:id="2" w:name="_2.2._Algunas_alternativas"/>
      <w:bookmarkEnd w:id="2"/>
      <w:r w:rsidRPr="00C67EE0">
        <w:rPr>
          <w:rFonts w:ascii="Myriad Pro" w:hAnsi="Myriad Pro"/>
          <w:b/>
          <w:sz w:val="24"/>
          <w:szCs w:val="24"/>
        </w:rPr>
        <w:t>2</w:t>
      </w:r>
      <w:r w:rsidR="00CA79A4" w:rsidRPr="00C67EE0">
        <w:rPr>
          <w:rFonts w:ascii="Myriad Pro" w:hAnsi="Myriad Pro"/>
          <w:b/>
          <w:sz w:val="24"/>
          <w:szCs w:val="24"/>
        </w:rPr>
        <w:t>.</w:t>
      </w:r>
      <w:r w:rsidRPr="00C67EE0">
        <w:rPr>
          <w:rFonts w:ascii="Myriad Pro" w:hAnsi="Myriad Pro"/>
          <w:b/>
          <w:sz w:val="24"/>
          <w:szCs w:val="24"/>
        </w:rPr>
        <w:t>2</w:t>
      </w:r>
      <w:r w:rsidR="00CA79A4" w:rsidRPr="00C67EE0">
        <w:rPr>
          <w:rFonts w:ascii="Myriad Pro" w:hAnsi="Myriad Pro"/>
          <w:b/>
          <w:sz w:val="24"/>
          <w:szCs w:val="24"/>
        </w:rPr>
        <w:t xml:space="preserve">. </w:t>
      </w:r>
      <w:r w:rsidR="00783ED1" w:rsidRPr="00C67EE0">
        <w:rPr>
          <w:rFonts w:ascii="Myriad Pro" w:hAnsi="Myriad Pro"/>
          <w:b/>
          <w:sz w:val="24"/>
          <w:szCs w:val="24"/>
        </w:rPr>
        <w:t>La razón del insatisfactorio estado de la discusión: La sustitución de las re</w:t>
      </w:r>
      <w:r w:rsidR="00783ED1" w:rsidRPr="00C67EE0">
        <w:rPr>
          <w:rFonts w:ascii="Myriad Pro" w:hAnsi="Myriad Pro"/>
          <w:b/>
          <w:sz w:val="24"/>
          <w:szCs w:val="24"/>
        </w:rPr>
        <w:t>s</w:t>
      </w:r>
      <w:r w:rsidR="00783ED1" w:rsidRPr="00C67EE0">
        <w:rPr>
          <w:rFonts w:ascii="Myriad Pro" w:hAnsi="Myriad Pro"/>
          <w:b/>
          <w:sz w:val="24"/>
          <w:szCs w:val="24"/>
        </w:rPr>
        <w:t>tricciones pr</w:t>
      </w:r>
      <w:r w:rsidR="00783ED1" w:rsidRPr="00C67EE0">
        <w:rPr>
          <w:rFonts w:ascii="Myriad Pro" w:hAnsi="Myriad Pro"/>
          <w:b/>
          <w:sz w:val="24"/>
          <w:szCs w:val="24"/>
        </w:rPr>
        <w:t>e</w:t>
      </w:r>
      <w:r w:rsidR="00783ED1" w:rsidRPr="00C67EE0">
        <w:rPr>
          <w:rFonts w:ascii="Myriad Pro" w:hAnsi="Myriad Pro"/>
          <w:b/>
          <w:sz w:val="24"/>
          <w:szCs w:val="24"/>
        </w:rPr>
        <w:t>vistas en el tenor literal de la regla que sanciona la complicidad a través de la adición de cr</w:t>
      </w:r>
      <w:r w:rsidR="00783ED1" w:rsidRPr="00C67EE0">
        <w:rPr>
          <w:rFonts w:ascii="Myriad Pro" w:hAnsi="Myriad Pro"/>
          <w:b/>
          <w:sz w:val="24"/>
          <w:szCs w:val="24"/>
        </w:rPr>
        <w:t>i</w:t>
      </w:r>
      <w:r w:rsidR="00783ED1" w:rsidRPr="00C67EE0">
        <w:rPr>
          <w:rFonts w:ascii="Myriad Pro" w:hAnsi="Myriad Pro"/>
          <w:b/>
          <w:sz w:val="24"/>
          <w:szCs w:val="24"/>
        </w:rPr>
        <w:t>terios restrictivos externos</w:t>
      </w:r>
    </w:p>
    <w:p w14:paraId="349B5A04" w14:textId="77777777" w:rsidR="00C67EE0" w:rsidRDefault="00C67EE0" w:rsidP="00C67EE0"/>
    <w:p w14:paraId="1E498245" w14:textId="273F1952" w:rsidR="00783ED1" w:rsidRPr="00783ED1" w:rsidRDefault="00783ED1" w:rsidP="00783ED1">
      <w:pPr>
        <w:spacing w:before="200"/>
        <w:jc w:val="both"/>
        <w:rPr>
          <w:rFonts w:ascii="Myriad Pro" w:hAnsi="Myriad Pro"/>
          <w:sz w:val="24"/>
          <w:szCs w:val="24"/>
        </w:rPr>
      </w:pPr>
      <w:r>
        <w:rPr>
          <w:rFonts w:ascii="Myriad Pro" w:hAnsi="Myriad Pro"/>
          <w:sz w:val="24"/>
          <w:szCs w:val="24"/>
          <w:lang w:val="es-ES"/>
        </w:rPr>
        <w:tab/>
      </w:r>
      <w:r w:rsidRPr="00783ED1">
        <w:rPr>
          <w:rFonts w:ascii="Myriad Pro" w:hAnsi="Myriad Pro"/>
          <w:sz w:val="24"/>
          <w:szCs w:val="24"/>
          <w:lang w:val="es-ES"/>
        </w:rPr>
        <w:t xml:space="preserve">Tal como se ha señalado reiteradamente, la opinión dominante en Alemania ha trabajado bajo la asunción de que la regla que sanciona la complicidad no tiene restricción alguna que permita excluir de la punibilidad de las acciones neutrales o cotidianas. Debido a ello, ha desarrollado un criterio (objetivo-subjetivo) externo a la regla legal que sanciona la complicidad para limitar la punibilidad en este ámbito. </w:t>
      </w:r>
      <w:r w:rsidRPr="00783ED1">
        <w:rPr>
          <w:rFonts w:ascii="Myriad Pro" w:hAnsi="Myriad Pro"/>
          <w:sz w:val="24"/>
          <w:szCs w:val="24"/>
        </w:rPr>
        <w:t>Pese a la aparente estabilidad de este criterio, este se basa en una construcción teór</w:t>
      </w:r>
      <w:r w:rsidRPr="00783ED1">
        <w:rPr>
          <w:rFonts w:ascii="Myriad Pro" w:hAnsi="Myriad Pro"/>
          <w:sz w:val="24"/>
          <w:szCs w:val="24"/>
        </w:rPr>
        <w:t>i</w:t>
      </w:r>
      <w:r w:rsidRPr="00783ED1">
        <w:rPr>
          <w:rFonts w:ascii="Myriad Pro" w:hAnsi="Myriad Pro"/>
          <w:sz w:val="24"/>
          <w:szCs w:val="24"/>
        </w:rPr>
        <w:t>ca sistemáticamente contradictoria y no ofrece claridad en relación a la prioridad del criterio objetivo (“relación de sentido delictivo” o “disposición reconocible al hecho”) o del subjetivo (conocimiento o solo aceptación de la posibilidad por parte del part</w:t>
      </w:r>
      <w:r w:rsidRPr="00783ED1">
        <w:rPr>
          <w:rFonts w:ascii="Myriad Pro" w:hAnsi="Myriad Pro"/>
          <w:sz w:val="24"/>
          <w:szCs w:val="24"/>
        </w:rPr>
        <w:t>í</w:t>
      </w:r>
      <w:r w:rsidRPr="00783ED1">
        <w:rPr>
          <w:rFonts w:ascii="Myriad Pro" w:hAnsi="Myriad Pro"/>
          <w:sz w:val="24"/>
          <w:szCs w:val="24"/>
        </w:rPr>
        <w:t xml:space="preserve">cipe). La simple adición de criterios no entrega una solución pulcra y generalizable para solucionar los casos más complejos, sino que solo la posibilidad de realizar una modificación </w:t>
      </w:r>
      <w:r w:rsidRPr="00783ED1">
        <w:rPr>
          <w:rFonts w:ascii="Myriad Pro" w:hAnsi="Myriad Pro"/>
          <w:i/>
          <w:iCs/>
          <w:sz w:val="24"/>
          <w:szCs w:val="24"/>
        </w:rPr>
        <w:t>ex post</w:t>
      </w:r>
      <w:r w:rsidRPr="00783ED1">
        <w:rPr>
          <w:rFonts w:ascii="Myriad Pro" w:hAnsi="Myriad Pro"/>
          <w:sz w:val="24"/>
          <w:szCs w:val="24"/>
        </w:rPr>
        <w:t xml:space="preserve"> y </w:t>
      </w:r>
      <w:r w:rsidRPr="00783ED1">
        <w:rPr>
          <w:rFonts w:ascii="Myriad Pro" w:hAnsi="Myriad Pro"/>
          <w:i/>
          <w:iCs/>
          <w:sz w:val="24"/>
          <w:szCs w:val="24"/>
        </w:rPr>
        <w:t xml:space="preserve">ad hoc </w:t>
      </w:r>
      <w:r w:rsidRPr="00783ED1">
        <w:rPr>
          <w:rFonts w:ascii="Myriad Pro" w:hAnsi="Myriad Pro"/>
          <w:sz w:val="24"/>
          <w:szCs w:val="24"/>
        </w:rPr>
        <w:t>de elementos de la teoría, cuando el resultado no se corresponde con un determinado sentimiento jurídico de corrección. Sin embargo, este paradigma puede ser reconstruido bajo otra comprensión para fundar una sol</w:t>
      </w:r>
      <w:r w:rsidRPr="00783ED1">
        <w:rPr>
          <w:rFonts w:ascii="Myriad Pro" w:hAnsi="Myriad Pro"/>
          <w:sz w:val="24"/>
          <w:szCs w:val="24"/>
        </w:rPr>
        <w:t>u</w:t>
      </w:r>
      <w:r w:rsidRPr="00783ED1">
        <w:rPr>
          <w:rFonts w:ascii="Myriad Pro" w:hAnsi="Myriad Pro"/>
          <w:sz w:val="24"/>
          <w:szCs w:val="24"/>
        </w:rPr>
        <w:t>ción coherente y segura.</w:t>
      </w:r>
    </w:p>
    <w:p w14:paraId="051747C5" w14:textId="77777777" w:rsidR="00783ED1" w:rsidRPr="00783ED1" w:rsidRDefault="00783ED1" w:rsidP="00783ED1">
      <w:pPr>
        <w:spacing w:before="200"/>
        <w:jc w:val="both"/>
        <w:rPr>
          <w:rFonts w:ascii="Garamond" w:hAnsi="Garamond"/>
          <w:sz w:val="24"/>
          <w:szCs w:val="24"/>
        </w:rPr>
      </w:pPr>
      <w:r w:rsidRPr="00783ED1">
        <w:rPr>
          <w:rFonts w:ascii="Myriad Pro" w:hAnsi="Myriad Pro"/>
          <w:sz w:val="24"/>
          <w:szCs w:val="24"/>
        </w:rPr>
        <w:tab/>
        <w:t>Una solución al problema susceptible, de ser seguida debe contener tanto una construcción teórica consistente como también proponer soluciones adecuadas y fecundas. De esta forma una teoría dogmática, en tanto discurso reflexivo de apl</w:t>
      </w:r>
      <w:r w:rsidRPr="00783ED1">
        <w:rPr>
          <w:rFonts w:ascii="Myriad Pro" w:hAnsi="Myriad Pro"/>
          <w:sz w:val="24"/>
          <w:szCs w:val="24"/>
        </w:rPr>
        <w:t>i</w:t>
      </w:r>
      <w:r w:rsidRPr="00783ED1">
        <w:rPr>
          <w:rFonts w:ascii="Myriad Pro" w:hAnsi="Myriad Pro"/>
          <w:sz w:val="24"/>
          <w:szCs w:val="24"/>
        </w:rPr>
        <w:t>cación, desempeña su pretensión de racionalidad tanto en su fuerza aclaratoria del alcance de las reglas, como en la ausencia de contradicciones valorativas y sistemát</w:t>
      </w:r>
      <w:r w:rsidRPr="00783ED1">
        <w:rPr>
          <w:rFonts w:ascii="Myriad Pro" w:hAnsi="Myriad Pro"/>
          <w:sz w:val="24"/>
          <w:szCs w:val="24"/>
        </w:rPr>
        <w:t>i</w:t>
      </w:r>
      <w:r w:rsidRPr="00783ED1">
        <w:rPr>
          <w:rFonts w:ascii="Myriad Pro" w:hAnsi="Myriad Pro"/>
          <w:sz w:val="24"/>
          <w:szCs w:val="24"/>
        </w:rPr>
        <w:t xml:space="preserve">cas entre sus presupuestos y aplicaciones pretendidas. Así, es objeto de evaluación de las teorías la relación entre el centro o fundamentos de ella con sus aplicaciones (Schurmann Opazo, 2019, p. 577 y ss.), en este sentido también Schünemann (2012), quien afirma como tarea de la dogmática que “das daraus entstehende Begriffs- und Argumentationssystem muss widerspruchsfrei sein (‚deduktive Logik als Organon </w:t>
      </w:r>
      <w:r w:rsidRPr="00783ED1">
        <w:rPr>
          <w:rFonts w:ascii="Myriad Pro" w:hAnsi="Myriad Pro"/>
          <w:sz w:val="24"/>
          <w:szCs w:val="24"/>
        </w:rPr>
        <w:lastRenderedPageBreak/>
        <w:t>der Kritik’)</w:t>
      </w:r>
      <w:proofErr w:type="gramStart"/>
      <w:r w:rsidRPr="00783ED1">
        <w:rPr>
          <w:rFonts w:ascii="Myriad Pro" w:hAnsi="Myriad Pro"/>
          <w:bCs/>
          <w:sz w:val="24"/>
          <w:szCs w:val="24"/>
        </w:rPr>
        <w:t>”</w:t>
      </w:r>
      <w:r w:rsidRPr="00783ED1">
        <w:rPr>
          <w:rStyle w:val="Ancladenotaalpie"/>
          <w:rFonts w:ascii="Myriad Pro" w:hAnsi="Myriad Pro"/>
          <w:sz w:val="24"/>
          <w:szCs w:val="24"/>
        </w:rPr>
        <w:t xml:space="preserve"> </w:t>
      </w:r>
      <w:proofErr w:type="gramEnd"/>
      <w:r w:rsidRPr="00783ED1">
        <w:rPr>
          <w:rStyle w:val="Ancladenotaalpie"/>
          <w:rFonts w:ascii="Myriad Pro" w:hAnsi="Myriad Pro"/>
          <w:sz w:val="24"/>
          <w:szCs w:val="24"/>
        </w:rPr>
        <w:footnoteReference w:id="54"/>
      </w:r>
      <w:r w:rsidRPr="00783ED1">
        <w:rPr>
          <w:rFonts w:ascii="Myriad Pro" w:hAnsi="Myriad Pro"/>
          <w:sz w:val="24"/>
          <w:szCs w:val="24"/>
        </w:rPr>
        <w:t xml:space="preserve">. </w:t>
      </w:r>
      <w:r w:rsidRPr="00783ED1">
        <w:rPr>
          <w:rFonts w:ascii="Myriad Pro" w:hAnsi="Myriad Pro"/>
          <w:bCs/>
          <w:sz w:val="24"/>
          <w:szCs w:val="24"/>
        </w:rPr>
        <w:t xml:space="preserve">Concuerda también </w:t>
      </w:r>
      <w:r w:rsidRPr="00783ED1">
        <w:rPr>
          <w:rFonts w:ascii="Myriad Pro" w:hAnsi="Myriad Pro"/>
          <w:sz w:val="24"/>
          <w:szCs w:val="24"/>
        </w:rPr>
        <w:t>Kindhäuser (2009, p. 959 y ss.)</w:t>
      </w:r>
      <w:r w:rsidRPr="00783ED1">
        <w:rPr>
          <w:rFonts w:ascii="Myriad Pro" w:hAnsi="Myriad Pro"/>
          <w:bCs/>
          <w:sz w:val="24"/>
          <w:szCs w:val="24"/>
        </w:rPr>
        <w:t xml:space="preserve"> cuando aplica como medida de corrección de la construcción de una teoría, la correspondencia de la te</w:t>
      </w:r>
      <w:r w:rsidRPr="00783ED1">
        <w:rPr>
          <w:rFonts w:ascii="Myriad Pro" w:hAnsi="Myriad Pro"/>
          <w:bCs/>
          <w:sz w:val="24"/>
          <w:szCs w:val="24"/>
        </w:rPr>
        <w:t>o</w:t>
      </w:r>
      <w:r w:rsidRPr="00783ED1">
        <w:rPr>
          <w:rFonts w:ascii="Myriad Pro" w:hAnsi="Myriad Pro"/>
          <w:bCs/>
          <w:sz w:val="24"/>
          <w:szCs w:val="24"/>
        </w:rPr>
        <w:t>ría con los criterios de los cánones interpretativos y los paradigmas fundamentales.</w:t>
      </w:r>
      <w:r w:rsidRPr="00783ED1">
        <w:rPr>
          <w:rFonts w:ascii="Myriad Pro" w:hAnsi="Myriad Pro"/>
          <w:sz w:val="24"/>
          <w:szCs w:val="24"/>
        </w:rPr>
        <w:t xml:space="preserve"> Por ejemplo, una crítica en dicho sentido es inferida cuando se afirma que la categ</w:t>
      </w:r>
      <w:r w:rsidRPr="00783ED1">
        <w:rPr>
          <w:rFonts w:ascii="Myriad Pro" w:hAnsi="Myriad Pro"/>
          <w:sz w:val="24"/>
          <w:szCs w:val="24"/>
        </w:rPr>
        <w:t>o</w:t>
      </w:r>
      <w:r w:rsidRPr="00783ED1">
        <w:rPr>
          <w:rFonts w:ascii="Myriad Pro" w:hAnsi="Myriad Pro"/>
          <w:sz w:val="24"/>
          <w:szCs w:val="24"/>
        </w:rPr>
        <w:t>ría de los conocimientos especiales del autor intenta determinar qué puede ser visto “objetivamente” como complicidad, en tanto resultado de la teoría de la imputación objetiva (Greco, 2015, p. 2). Sin embargo, es simplemente impensable que de acue</w:t>
      </w:r>
      <w:r w:rsidRPr="00783ED1">
        <w:rPr>
          <w:rFonts w:ascii="Myriad Pro" w:hAnsi="Myriad Pro"/>
          <w:sz w:val="24"/>
          <w:szCs w:val="24"/>
        </w:rPr>
        <w:t>r</w:t>
      </w:r>
      <w:r w:rsidRPr="00783ED1">
        <w:rPr>
          <w:rFonts w:ascii="Myriad Pro" w:hAnsi="Myriad Pro"/>
          <w:sz w:val="24"/>
          <w:szCs w:val="24"/>
        </w:rPr>
        <w:t>do a una supuesta teoría “objetiva”, se haga depender la satisfacción de la tipicidad objetiva de la conducta del querer o conocer del actuante. El sostener que esta sol</w:t>
      </w:r>
      <w:r w:rsidRPr="00783ED1">
        <w:rPr>
          <w:rFonts w:ascii="Myriad Pro" w:hAnsi="Myriad Pro"/>
          <w:sz w:val="24"/>
          <w:szCs w:val="24"/>
        </w:rPr>
        <w:t>u</w:t>
      </w:r>
      <w:r w:rsidRPr="00783ED1">
        <w:rPr>
          <w:rFonts w:ascii="Myriad Pro" w:hAnsi="Myriad Pro"/>
          <w:sz w:val="24"/>
          <w:szCs w:val="24"/>
        </w:rPr>
        <w:t>ción es consistente con la categoría de los conocimientos especiales del autor dentro de la teoría de la imputación objetiva, está lejos de resolver el problema sistemático, sino que, en su lugar, solo confirma la inadecuación de la categoría de los conoc</w:t>
      </w:r>
      <w:r w:rsidRPr="00783ED1">
        <w:rPr>
          <w:rFonts w:ascii="Myriad Pro" w:hAnsi="Myriad Pro"/>
          <w:sz w:val="24"/>
          <w:szCs w:val="24"/>
        </w:rPr>
        <w:t>i</w:t>
      </w:r>
      <w:r w:rsidRPr="00783ED1">
        <w:rPr>
          <w:rFonts w:ascii="Myriad Pro" w:hAnsi="Myriad Pro"/>
          <w:sz w:val="24"/>
          <w:szCs w:val="24"/>
        </w:rPr>
        <w:t xml:space="preserve">mientos especiales en general. Para introducirse en la discusión ver Roxin (2006, </w:t>
      </w:r>
      <w:r w:rsidRPr="00783ED1">
        <w:rPr>
          <w:rFonts w:ascii="Myriad Pro" w:hAnsi="Myriad Pro"/>
          <w:bCs/>
          <w:sz w:val="24"/>
          <w:szCs w:val="24"/>
        </w:rPr>
        <w:t xml:space="preserve">p. </w:t>
      </w:r>
      <w:r w:rsidRPr="00783ED1">
        <w:rPr>
          <w:rFonts w:ascii="Myriad Pro" w:hAnsi="Myriad Pro"/>
          <w:sz w:val="24"/>
          <w:szCs w:val="24"/>
        </w:rPr>
        <w:t xml:space="preserve">378 y  ss.) y, </w:t>
      </w:r>
      <w:r w:rsidRPr="00783ED1">
        <w:rPr>
          <w:rFonts w:ascii="Myriad Pro" w:hAnsi="Myriad Pro"/>
          <w:iCs/>
          <w:sz w:val="24"/>
          <w:szCs w:val="24"/>
        </w:rPr>
        <w:t>Roxin</w:t>
      </w:r>
      <w:r w:rsidRPr="00783ED1">
        <w:rPr>
          <w:rFonts w:ascii="Myriad Pro" w:hAnsi="Myriad Pro"/>
          <w:sz w:val="24"/>
          <w:szCs w:val="24"/>
        </w:rPr>
        <w:t xml:space="preserve"> (1993b, p. 217 y ss.). Para una convincente crítica de esta constru</w:t>
      </w:r>
      <w:r w:rsidRPr="00783ED1">
        <w:rPr>
          <w:rFonts w:ascii="Myriad Pro" w:hAnsi="Myriad Pro"/>
          <w:sz w:val="24"/>
          <w:szCs w:val="24"/>
        </w:rPr>
        <w:t>c</w:t>
      </w:r>
      <w:r w:rsidRPr="00783ED1">
        <w:rPr>
          <w:rFonts w:ascii="Myriad Pro" w:hAnsi="Myriad Pro"/>
          <w:sz w:val="24"/>
          <w:szCs w:val="24"/>
        </w:rPr>
        <w:t>ción ver Kindhäuser (1989, p. 61 y ss., p. 91 y ss.).</w:t>
      </w:r>
    </w:p>
    <w:p w14:paraId="6928F49B" w14:textId="77777777" w:rsidR="00783ED1" w:rsidRPr="00783ED1" w:rsidRDefault="00783ED1" w:rsidP="00783ED1">
      <w:pPr>
        <w:spacing w:before="200"/>
        <w:jc w:val="both"/>
        <w:rPr>
          <w:rStyle w:val="Ancladenotaalpie"/>
          <w:rFonts w:ascii="Garamond" w:hAnsi="Garamond"/>
          <w:sz w:val="24"/>
          <w:szCs w:val="24"/>
        </w:rPr>
      </w:pPr>
      <w:r w:rsidRPr="00783ED1">
        <w:rPr>
          <w:rFonts w:ascii="Myriad Pro" w:hAnsi="Myriad Pro"/>
          <w:sz w:val="24"/>
          <w:szCs w:val="24"/>
        </w:rPr>
        <w:tab/>
        <w:t>Externamente, la corrección de las teorías se mide por su capacidad explicat</w:t>
      </w:r>
      <w:r w:rsidRPr="00783ED1">
        <w:rPr>
          <w:rFonts w:ascii="Myriad Pro" w:hAnsi="Myriad Pro"/>
          <w:sz w:val="24"/>
          <w:szCs w:val="24"/>
        </w:rPr>
        <w:t>i</w:t>
      </w:r>
      <w:r w:rsidRPr="00783ED1">
        <w:rPr>
          <w:rFonts w:ascii="Myriad Pro" w:hAnsi="Myriad Pro"/>
          <w:sz w:val="24"/>
          <w:szCs w:val="24"/>
        </w:rPr>
        <w:t xml:space="preserve">va y compatibilidad con el Derecho vigente – porque la ley constituye el objeto de la dogmática. Kindhäuser, (2009, p. 959 y ss.)–. </w:t>
      </w:r>
      <w:proofErr w:type="gramStart"/>
      <w:r w:rsidRPr="00783ED1">
        <w:rPr>
          <w:rFonts w:ascii="Myriad Pro" w:hAnsi="Myriad Pro"/>
          <w:sz w:val="24"/>
          <w:szCs w:val="24"/>
        </w:rPr>
        <w:t>Tanto</w:t>
      </w:r>
      <w:proofErr w:type="gramEnd"/>
      <w:r w:rsidRPr="00783ED1">
        <w:rPr>
          <w:rFonts w:ascii="Myriad Pro" w:hAnsi="Myriad Pro"/>
          <w:sz w:val="24"/>
          <w:szCs w:val="24"/>
        </w:rPr>
        <w:t xml:space="preserve"> teorías objetivas como subjetivas sufren en general la misma objeción. Ambas no son conciliables fácilmente con el tenor literal de la ley (Kindhäuser, 2007a, p. 359). Otto (2001) critica en el mismo se</w:t>
      </w:r>
      <w:r w:rsidRPr="00783ED1">
        <w:rPr>
          <w:rFonts w:ascii="Myriad Pro" w:hAnsi="Myriad Pro"/>
          <w:sz w:val="24"/>
          <w:szCs w:val="24"/>
        </w:rPr>
        <w:t>n</w:t>
      </w:r>
      <w:r w:rsidRPr="00783ED1">
        <w:rPr>
          <w:rFonts w:ascii="Myriad Pro" w:hAnsi="Myriad Pro"/>
          <w:sz w:val="24"/>
          <w:szCs w:val="24"/>
        </w:rPr>
        <w:t>tido, pero solo en contra de una restricción objetiva, sosteniendo que “Der Ges</w:t>
      </w:r>
      <w:r w:rsidRPr="00783ED1">
        <w:rPr>
          <w:rFonts w:ascii="Myriad Pro" w:hAnsi="Myriad Pro"/>
          <w:sz w:val="24"/>
          <w:szCs w:val="24"/>
        </w:rPr>
        <w:t>e</w:t>
      </w:r>
      <w:r w:rsidRPr="00783ED1">
        <w:rPr>
          <w:rFonts w:ascii="Myriad Pro" w:hAnsi="Myriad Pro"/>
          <w:sz w:val="24"/>
          <w:szCs w:val="24"/>
        </w:rPr>
        <w:t>tzgeber hat sich in Kenntnis des ‚Sozialadäquanzproblems’ gegen eine Tatbe</w:t>
      </w:r>
      <w:r w:rsidRPr="00783ED1">
        <w:rPr>
          <w:rFonts w:ascii="Myriad Pro" w:hAnsi="Myriad Pro"/>
          <w:sz w:val="24"/>
          <w:szCs w:val="24"/>
        </w:rPr>
        <w:t>s</w:t>
      </w:r>
      <w:r w:rsidRPr="00783ED1">
        <w:rPr>
          <w:rFonts w:ascii="Myriad Pro" w:hAnsi="Myriad Pro"/>
          <w:sz w:val="24"/>
          <w:szCs w:val="24"/>
        </w:rPr>
        <w:t>tandseinschränkung entschieden und diese Entscheidung auch hinreichend klar zum Ausdruck gebracht” (p. 440)</w:t>
      </w:r>
      <w:r w:rsidRPr="00783ED1">
        <w:rPr>
          <w:rStyle w:val="Ancladenotaalpie"/>
          <w:rFonts w:ascii="Myriad Pro" w:hAnsi="Myriad Pro"/>
          <w:sz w:val="24"/>
          <w:szCs w:val="24"/>
        </w:rPr>
        <w:footnoteReference w:id="55"/>
      </w:r>
      <w:r w:rsidRPr="00783ED1">
        <w:rPr>
          <w:rFonts w:ascii="Myriad Pro" w:hAnsi="Myriad Pro"/>
          <w:sz w:val="24"/>
          <w:szCs w:val="24"/>
        </w:rPr>
        <w:t>. No existe una restricción del dolo en la ley, así como tampoco una autorización legal para comportamientos cotidianos o profesionales. Los comportamientos profesionales, no se encuentran exentos de la prohibición de colaborar con comportamientos delictivos (Kindhäuser, 2007, p. 371). Es por ello que toda teoría que pretenda establecer un criterio delimitador de las conductas pun</w:t>
      </w:r>
      <w:r w:rsidRPr="00783ED1">
        <w:rPr>
          <w:rFonts w:ascii="Myriad Pro" w:hAnsi="Myriad Pro"/>
          <w:sz w:val="24"/>
          <w:szCs w:val="24"/>
        </w:rPr>
        <w:t>i</w:t>
      </w:r>
      <w:r w:rsidRPr="00783ED1">
        <w:rPr>
          <w:rFonts w:ascii="Myriad Pro" w:hAnsi="Myriad Pro"/>
          <w:sz w:val="24"/>
          <w:szCs w:val="24"/>
        </w:rPr>
        <w:t>bles en este ámbito, debe prever que la solución propuesta sea compatible con el tenor literal de la legislación y de las categorías penales. Resulta bastante llamativo notar que la mayoría de las propuestas teóricas aquí expuestas no se basan en el t</w:t>
      </w:r>
      <w:r w:rsidRPr="00783ED1">
        <w:rPr>
          <w:rFonts w:ascii="Myriad Pro" w:hAnsi="Myriad Pro"/>
          <w:sz w:val="24"/>
          <w:szCs w:val="24"/>
        </w:rPr>
        <w:t>e</w:t>
      </w:r>
      <w:r w:rsidRPr="00783ED1">
        <w:rPr>
          <w:rFonts w:ascii="Myriad Pro" w:hAnsi="Myriad Pro"/>
          <w:sz w:val="24"/>
          <w:szCs w:val="24"/>
        </w:rPr>
        <w:t xml:space="preserve">nor literal de la ley, sino que en el uso de criterios </w:t>
      </w:r>
      <w:r w:rsidRPr="00783ED1">
        <w:rPr>
          <w:rFonts w:ascii="Myriad Pro" w:hAnsi="Myriad Pro"/>
          <w:i/>
          <w:iCs/>
          <w:sz w:val="24"/>
          <w:szCs w:val="24"/>
        </w:rPr>
        <w:t>ad hoc</w:t>
      </w:r>
      <w:r w:rsidRPr="00783ED1">
        <w:rPr>
          <w:rFonts w:ascii="Myriad Pro" w:hAnsi="Myriad Pro"/>
          <w:sz w:val="24"/>
          <w:szCs w:val="24"/>
        </w:rPr>
        <w:t xml:space="preserve"> (v. gr. relación de sentido delictivo, disposición reconocible al hecho, entre otros) o de categorías con conten</w:t>
      </w:r>
      <w:r w:rsidRPr="00783ED1">
        <w:rPr>
          <w:rFonts w:ascii="Myriad Pro" w:hAnsi="Myriad Pro"/>
          <w:sz w:val="24"/>
          <w:szCs w:val="24"/>
        </w:rPr>
        <w:t>i</w:t>
      </w:r>
      <w:r w:rsidRPr="00783ED1">
        <w:rPr>
          <w:rFonts w:ascii="Myriad Pro" w:hAnsi="Myriad Pro"/>
          <w:sz w:val="24"/>
          <w:szCs w:val="24"/>
        </w:rPr>
        <w:t>do difuso (v. gr. adecuación social, riesgo permitido y prohibición de regreso). Una dogmática penal orientada científicamente debe rechazar este tipo de construcci</w:t>
      </w:r>
      <w:r w:rsidRPr="00783ED1">
        <w:rPr>
          <w:rFonts w:ascii="Myriad Pro" w:hAnsi="Myriad Pro"/>
          <w:sz w:val="24"/>
          <w:szCs w:val="24"/>
        </w:rPr>
        <w:t>o</w:t>
      </w:r>
      <w:r w:rsidRPr="00783ED1">
        <w:rPr>
          <w:rFonts w:ascii="Myriad Pro" w:hAnsi="Myriad Pro"/>
          <w:sz w:val="24"/>
          <w:szCs w:val="24"/>
        </w:rPr>
        <w:t xml:space="preserve">nes dogmáticas artificiales, dado que ellas pueden conducir a resultados inseguros, </w:t>
      </w:r>
      <w:r w:rsidRPr="00783ED1">
        <w:rPr>
          <w:rFonts w:ascii="Myriad Pro" w:hAnsi="Myriad Pro"/>
          <w:sz w:val="24"/>
          <w:szCs w:val="24"/>
        </w:rPr>
        <w:lastRenderedPageBreak/>
        <w:t xml:space="preserve">ilógicos o inadecuados (Kindhäuser, </w:t>
      </w:r>
      <w:r w:rsidRPr="00783ED1">
        <w:rPr>
          <w:rFonts w:ascii="Myriad Pro" w:hAnsi="Myriad Pro"/>
          <w:smallCaps/>
          <w:sz w:val="24"/>
          <w:szCs w:val="24"/>
        </w:rPr>
        <w:t>2009,</w:t>
      </w:r>
      <w:r w:rsidRPr="00783ED1">
        <w:rPr>
          <w:rFonts w:ascii="Myriad Pro" w:hAnsi="Myriad Pro"/>
          <w:sz w:val="24"/>
          <w:szCs w:val="24"/>
        </w:rPr>
        <w:t xml:space="preserve"> pp</w:t>
      </w:r>
      <w:r w:rsidRPr="00783ED1">
        <w:rPr>
          <w:rFonts w:ascii="Myriad Pro" w:hAnsi="Myriad Pro"/>
          <w:smallCaps/>
          <w:sz w:val="24"/>
          <w:szCs w:val="24"/>
        </w:rPr>
        <w:t xml:space="preserve">. </w:t>
      </w:r>
      <w:r w:rsidRPr="00783ED1">
        <w:rPr>
          <w:rFonts w:ascii="Myriad Pro" w:hAnsi="Myriad Pro"/>
          <w:sz w:val="24"/>
          <w:szCs w:val="24"/>
        </w:rPr>
        <w:t>954 y 955; Schurmann Opazo, 2019, p. 569 y ss.).</w:t>
      </w:r>
    </w:p>
    <w:p w14:paraId="633CC64F" w14:textId="77777777" w:rsidR="00783ED1" w:rsidRPr="00783ED1" w:rsidRDefault="00783ED1" w:rsidP="00783ED1">
      <w:pPr>
        <w:spacing w:before="200"/>
        <w:jc w:val="both"/>
        <w:rPr>
          <w:rFonts w:ascii="Myriad Pro" w:hAnsi="Myriad Pro"/>
          <w:sz w:val="24"/>
          <w:szCs w:val="24"/>
        </w:rPr>
      </w:pPr>
      <w:r w:rsidRPr="00783ED1">
        <w:rPr>
          <w:rFonts w:ascii="Myriad Pro" w:hAnsi="Myriad Pro"/>
          <w:sz w:val="24"/>
          <w:szCs w:val="24"/>
        </w:rPr>
        <w:tab/>
        <w:t>Es también digno de notar que los distintos criterios alcanzan frecuentemente las mismas soluciones. Como prueba de ello, dos ejemplos: (i) Pese a que es discutido aún por Roxin el resultado de impunidad debido a la general disponibilidad de un objeto o prestación, constituye un lugar común al día de hoy entre las distintas te</w:t>
      </w:r>
      <w:r w:rsidRPr="00783ED1">
        <w:rPr>
          <w:rFonts w:ascii="Myriad Pro" w:hAnsi="Myriad Pro"/>
          <w:sz w:val="24"/>
          <w:szCs w:val="24"/>
        </w:rPr>
        <w:t>o</w:t>
      </w:r>
      <w:r w:rsidRPr="00783ED1">
        <w:rPr>
          <w:rFonts w:ascii="Myriad Pro" w:hAnsi="Myriad Pro"/>
          <w:sz w:val="24"/>
          <w:szCs w:val="24"/>
        </w:rPr>
        <w:t>rías</w:t>
      </w:r>
      <w:r w:rsidRPr="00783ED1">
        <w:rPr>
          <w:rStyle w:val="Ancladenotaalpie"/>
          <w:rFonts w:ascii="Myriad Pro" w:hAnsi="Myriad Pro"/>
          <w:sz w:val="24"/>
          <w:szCs w:val="24"/>
        </w:rPr>
        <w:footnoteReference w:id="56"/>
      </w:r>
      <w:r w:rsidRPr="00783ED1">
        <w:rPr>
          <w:rFonts w:ascii="Myriad Pro" w:hAnsi="Myriad Pro"/>
          <w:sz w:val="24"/>
          <w:szCs w:val="24"/>
        </w:rPr>
        <w:t>. El punto de inflexión en dicho desarrollo lo constituye la aprobación del criterio por parte del discípulo de Roxin, Luis Greco (2015, p. 4)</w:t>
      </w:r>
      <w:r w:rsidRPr="00783ED1">
        <w:rPr>
          <w:rStyle w:val="Ancladenotaalpie"/>
          <w:rFonts w:ascii="Myriad Pro" w:hAnsi="Myriad Pro"/>
          <w:sz w:val="24"/>
          <w:szCs w:val="24"/>
        </w:rPr>
        <w:footnoteReference w:id="57"/>
      </w:r>
      <w:r w:rsidRPr="00783ED1">
        <w:rPr>
          <w:rFonts w:ascii="Myriad Pro" w:hAnsi="Myriad Pro"/>
          <w:sz w:val="24"/>
          <w:szCs w:val="24"/>
        </w:rPr>
        <w:t>. (ii) Una fuerte barrera obj</w:t>
      </w:r>
      <w:r w:rsidRPr="00783ED1">
        <w:rPr>
          <w:rFonts w:ascii="Myriad Pro" w:hAnsi="Myriad Pro"/>
          <w:sz w:val="24"/>
          <w:szCs w:val="24"/>
        </w:rPr>
        <w:t>e</w:t>
      </w:r>
      <w:r w:rsidRPr="00783ED1">
        <w:rPr>
          <w:rFonts w:ascii="Myriad Pro" w:hAnsi="Myriad Pro"/>
          <w:sz w:val="24"/>
          <w:szCs w:val="24"/>
        </w:rPr>
        <w:t>tiva de la punibilidad de acuerdo a la idea de rol, la cual fue desarrollada primari</w:t>
      </w:r>
      <w:r w:rsidRPr="00783ED1">
        <w:rPr>
          <w:rFonts w:ascii="Myriad Pro" w:hAnsi="Myriad Pro"/>
          <w:sz w:val="24"/>
          <w:szCs w:val="24"/>
        </w:rPr>
        <w:t>a</w:t>
      </w:r>
      <w:r w:rsidRPr="00783ED1">
        <w:rPr>
          <w:rFonts w:ascii="Myriad Pro" w:hAnsi="Myriad Pro"/>
          <w:sz w:val="24"/>
          <w:szCs w:val="24"/>
        </w:rPr>
        <w:t>mente por Jakobs, fue dejada paulatinamente de lado y cambiada, entre otros, por el propio Jakobs. La inadecuación de sus resultados y la progresiva consideración del contexto delictual condujeron a ello. Sin embargo, la similitud en los resultados no puede llevarnos a renunciar a la búsqueda de los fundamentos correctos y seguros que permitan fundar una solución aceptable y generalizable, dado que conclusiones correctas o parcialmente correctas suelen estar basadas en fundamentos incorrectos, este parece ser precisamente el caso.</w:t>
      </w:r>
    </w:p>
    <w:p w14:paraId="2D90A309" w14:textId="77777777" w:rsidR="00783ED1" w:rsidRPr="00783ED1" w:rsidRDefault="00783ED1" w:rsidP="00783ED1">
      <w:pPr>
        <w:spacing w:before="200"/>
        <w:jc w:val="both"/>
        <w:rPr>
          <w:rFonts w:ascii="Myriad Pro" w:hAnsi="Myriad Pro"/>
          <w:sz w:val="24"/>
          <w:szCs w:val="24"/>
        </w:rPr>
      </w:pPr>
      <w:r w:rsidRPr="00783ED1">
        <w:rPr>
          <w:rFonts w:ascii="Myriad Pro" w:hAnsi="Myriad Pro"/>
          <w:sz w:val="24"/>
          <w:szCs w:val="24"/>
        </w:rPr>
        <w:tab/>
        <w:t>De esta forma, el fundamento de esta insatisfacción en el estado de la disc</w:t>
      </w:r>
      <w:r w:rsidRPr="00783ED1">
        <w:rPr>
          <w:rFonts w:ascii="Myriad Pro" w:hAnsi="Myriad Pro"/>
          <w:sz w:val="24"/>
          <w:szCs w:val="24"/>
        </w:rPr>
        <w:t>u</w:t>
      </w:r>
      <w:r w:rsidRPr="00783ED1">
        <w:rPr>
          <w:rFonts w:ascii="Myriad Pro" w:hAnsi="Myriad Pro"/>
          <w:sz w:val="24"/>
          <w:szCs w:val="24"/>
        </w:rPr>
        <w:t>sión se encuentra mucho más en el inadecuado tratamiento del tenor literal de la ley y de las categorías penales, que en la ausencia de un criterio restrictivo convincente (Beckemper,</w:t>
      </w:r>
      <w:r w:rsidRPr="00783ED1">
        <w:rPr>
          <w:rFonts w:ascii="Myriad Pro" w:hAnsi="Myriad Pro" w:cs="Calibri (Cuerpo en alfabeto com"/>
          <w:smallCaps/>
          <w:sz w:val="24"/>
          <w:szCs w:val="24"/>
        </w:rPr>
        <w:t xml:space="preserve"> </w:t>
      </w:r>
      <w:r w:rsidRPr="00783ED1">
        <w:rPr>
          <w:rFonts w:ascii="Myriad Pro" w:hAnsi="Myriad Pro"/>
          <w:sz w:val="24"/>
          <w:szCs w:val="24"/>
        </w:rPr>
        <w:t xml:space="preserve">2001, p. 163) o en una disparidad inaceptable en los resultados de las propuestas teóricas. </w:t>
      </w:r>
    </w:p>
    <w:p w14:paraId="20CB5E0C" w14:textId="77777777" w:rsidR="00783ED1" w:rsidRDefault="00783ED1" w:rsidP="00783ED1">
      <w:pPr>
        <w:spacing w:before="200"/>
        <w:jc w:val="both"/>
        <w:rPr>
          <w:rFonts w:ascii="Myriad Pro" w:hAnsi="Myriad Pro"/>
          <w:sz w:val="24"/>
          <w:szCs w:val="24"/>
        </w:rPr>
      </w:pPr>
      <w:r w:rsidRPr="00783ED1">
        <w:rPr>
          <w:rFonts w:ascii="Myriad Pro" w:hAnsi="Myriad Pro"/>
          <w:sz w:val="24"/>
          <w:szCs w:val="24"/>
        </w:rPr>
        <w:tab/>
        <w:t>Así las cosas, el punto de inicio de cualquier investigación teórica sobre la p</w:t>
      </w:r>
      <w:r w:rsidRPr="00783ED1">
        <w:rPr>
          <w:rFonts w:ascii="Myriad Pro" w:hAnsi="Myriad Pro"/>
          <w:sz w:val="24"/>
          <w:szCs w:val="24"/>
        </w:rPr>
        <w:t>u</w:t>
      </w:r>
      <w:r w:rsidRPr="00783ED1">
        <w:rPr>
          <w:rFonts w:ascii="Myriad Pro" w:hAnsi="Myriad Pro"/>
          <w:sz w:val="24"/>
          <w:szCs w:val="24"/>
        </w:rPr>
        <w:t>nibilidad a título de complicidad de las denominadas acciones neutrales, debe nec</w:t>
      </w:r>
      <w:r w:rsidRPr="00783ED1">
        <w:rPr>
          <w:rFonts w:ascii="Myriad Pro" w:hAnsi="Myriad Pro"/>
          <w:sz w:val="24"/>
          <w:szCs w:val="24"/>
        </w:rPr>
        <w:t>e</w:t>
      </w:r>
      <w:r w:rsidRPr="00783ED1">
        <w:rPr>
          <w:rFonts w:ascii="Myriad Pro" w:hAnsi="Myriad Pro"/>
          <w:sz w:val="24"/>
          <w:szCs w:val="24"/>
        </w:rPr>
        <w:t>sariamente ser el tenor literal de la regulación legal que establece la punibilidad a título de complicidad, de modo que la conducta pueda ser subsumida en el supuesto de hecho que es descrito en dicha disposición. Así, una correcta teoría de la compl</w:t>
      </w:r>
      <w:r w:rsidRPr="00783ED1">
        <w:rPr>
          <w:rFonts w:ascii="Myriad Pro" w:hAnsi="Myriad Pro"/>
          <w:sz w:val="24"/>
          <w:szCs w:val="24"/>
        </w:rPr>
        <w:t>i</w:t>
      </w:r>
      <w:r w:rsidRPr="00783ED1">
        <w:rPr>
          <w:rFonts w:ascii="Myriad Pro" w:hAnsi="Myriad Pro"/>
          <w:sz w:val="24"/>
          <w:szCs w:val="24"/>
        </w:rPr>
        <w:t>cidad esta llamada a abarcar este supuesto como una de sus aplicaciones teóricas pretendidas, sin mayor especificidad que el de ser comportamientos que habitua</w:t>
      </w:r>
      <w:r w:rsidRPr="00783ED1">
        <w:rPr>
          <w:rFonts w:ascii="Myriad Pro" w:hAnsi="Myriad Pro"/>
          <w:sz w:val="24"/>
          <w:szCs w:val="24"/>
        </w:rPr>
        <w:t>l</w:t>
      </w:r>
      <w:r w:rsidRPr="00783ED1">
        <w:rPr>
          <w:rFonts w:ascii="Myriad Pro" w:hAnsi="Myriad Pro"/>
          <w:sz w:val="24"/>
          <w:szCs w:val="24"/>
        </w:rPr>
        <w:t>mente limitan con la irrelevancia penal. En este sentido, mientras que para nuestro Derecho la pregunta fundamental consistirá en qué se entiende por cooperar a la ejecución del hecho (de una forma distinta al autor), para el Derecho penal alemán la pregunta consiste en qué se entiende por prestar dolosamente ayuda a otro para la comisión dolosa de un hecho antijurídico. De este modo, resultará crucial reconocer en los conceptos de cooperación o prestación de ayuda un contenido que excluya a la mera entrega de un producto fácilmente accesible en el mercado, y así poder e</w:t>
      </w:r>
      <w:r w:rsidRPr="00783ED1">
        <w:rPr>
          <w:rFonts w:ascii="Myriad Pro" w:hAnsi="Myriad Pro"/>
          <w:sz w:val="24"/>
          <w:szCs w:val="24"/>
        </w:rPr>
        <w:t>x</w:t>
      </w:r>
      <w:r w:rsidRPr="00783ED1">
        <w:rPr>
          <w:rFonts w:ascii="Myriad Pro" w:hAnsi="Myriad Pro"/>
          <w:sz w:val="24"/>
          <w:szCs w:val="24"/>
        </w:rPr>
        <w:t>cluir la subsunción de la mayor parte de las conductas habituales, neutrales y/o pr</w:t>
      </w:r>
      <w:r w:rsidRPr="00783ED1">
        <w:rPr>
          <w:rFonts w:ascii="Myriad Pro" w:hAnsi="Myriad Pro"/>
          <w:sz w:val="24"/>
          <w:szCs w:val="24"/>
        </w:rPr>
        <w:t>o</w:t>
      </w:r>
      <w:r w:rsidRPr="00783ED1">
        <w:rPr>
          <w:rFonts w:ascii="Myriad Pro" w:hAnsi="Myriad Pro"/>
          <w:sz w:val="24"/>
          <w:szCs w:val="24"/>
        </w:rPr>
        <w:t xml:space="preserve">fesionales de la regla legal que extiende la responsabilidad penal a quien colabora con la comisión de un hecho típicamente antijurídico de otro. Solo después de que la </w:t>
      </w:r>
      <w:r w:rsidRPr="00783ED1">
        <w:rPr>
          <w:rFonts w:ascii="Myriad Pro" w:hAnsi="Myriad Pro"/>
          <w:sz w:val="24"/>
          <w:szCs w:val="24"/>
        </w:rPr>
        <w:lastRenderedPageBreak/>
        <w:t>tipicidad objetiva del comportamiento ha sido determinada como objeto de la imp</w:t>
      </w:r>
      <w:r w:rsidRPr="00783ED1">
        <w:rPr>
          <w:rFonts w:ascii="Myriad Pro" w:hAnsi="Myriad Pro"/>
          <w:sz w:val="24"/>
          <w:szCs w:val="24"/>
        </w:rPr>
        <w:t>u</w:t>
      </w:r>
      <w:r w:rsidRPr="00783ED1">
        <w:rPr>
          <w:rFonts w:ascii="Myriad Pro" w:hAnsi="Myriad Pro"/>
          <w:sz w:val="24"/>
          <w:szCs w:val="24"/>
        </w:rPr>
        <w:t>tación, puede serle atribuido dolo a dicho comportamiento, en tanto criterio de imputación -p</w:t>
      </w:r>
      <w:r w:rsidRPr="00783ED1">
        <w:rPr>
          <w:rFonts w:ascii="Myriad Pro" w:hAnsi="Myriad Pro"/>
          <w:sz w:val="24"/>
          <w:szCs w:val="24"/>
          <w:lang w:val="es-ES"/>
        </w:rPr>
        <w:t>ara la distinción entre objeto y criterio de la imputación, ver</w:t>
      </w:r>
      <w:r w:rsidRPr="00783ED1">
        <w:rPr>
          <w:rFonts w:ascii="Myriad Pro" w:hAnsi="Myriad Pro"/>
          <w:sz w:val="24"/>
          <w:szCs w:val="24"/>
        </w:rPr>
        <w:t xml:space="preserve"> Vogel (1993 y p. </w:t>
      </w:r>
      <w:r w:rsidRPr="00783ED1">
        <w:rPr>
          <w:rFonts w:ascii="Myriad Pro" w:hAnsi="Myriad Pro"/>
          <w:bCs/>
          <w:sz w:val="24"/>
          <w:szCs w:val="24"/>
        </w:rPr>
        <w:t xml:space="preserve">37 y ss.); </w:t>
      </w:r>
      <w:r w:rsidRPr="00783ED1">
        <w:rPr>
          <w:rFonts w:ascii="Myriad Pro" w:hAnsi="Myriad Pro"/>
          <w:sz w:val="24"/>
          <w:szCs w:val="24"/>
        </w:rPr>
        <w:t xml:space="preserve">Kindhäuser </w:t>
      </w:r>
      <w:r w:rsidRPr="00783ED1">
        <w:rPr>
          <w:rFonts w:ascii="Myriad Pro" w:hAnsi="Myriad Pro"/>
          <w:smallCaps/>
          <w:sz w:val="24"/>
          <w:szCs w:val="24"/>
        </w:rPr>
        <w:t xml:space="preserve">(1989, </w:t>
      </w:r>
      <w:r w:rsidRPr="00783ED1">
        <w:rPr>
          <w:rFonts w:ascii="Myriad Pro" w:hAnsi="Myriad Pro"/>
          <w:sz w:val="24"/>
          <w:szCs w:val="24"/>
        </w:rPr>
        <w:t>p.</w:t>
      </w:r>
      <w:r w:rsidRPr="00783ED1">
        <w:rPr>
          <w:rFonts w:ascii="Myriad Pro" w:hAnsi="Myriad Pro"/>
          <w:bCs/>
          <w:sz w:val="24"/>
          <w:szCs w:val="24"/>
        </w:rPr>
        <w:t xml:space="preserve"> 29 y ss.)-.</w:t>
      </w:r>
      <w:r w:rsidRPr="00783ED1">
        <w:rPr>
          <w:rFonts w:ascii="Myriad Pro" w:hAnsi="Myriad Pro"/>
          <w:sz w:val="24"/>
          <w:szCs w:val="24"/>
        </w:rPr>
        <w:t xml:space="preserve"> Plantear una teoría que delimite el comportamiento punible a título de complicidad, como objeto de la imputación de la responsabilidad por el delito cometido por otro, y determine los criterios de imp</w:t>
      </w:r>
      <w:r w:rsidRPr="00783ED1">
        <w:rPr>
          <w:rFonts w:ascii="Myriad Pro" w:hAnsi="Myriad Pro"/>
          <w:sz w:val="24"/>
          <w:szCs w:val="24"/>
        </w:rPr>
        <w:t>u</w:t>
      </w:r>
      <w:r w:rsidRPr="00783ED1">
        <w:rPr>
          <w:rFonts w:ascii="Myriad Pro" w:hAnsi="Myriad Pro"/>
          <w:sz w:val="24"/>
          <w:szCs w:val="24"/>
        </w:rPr>
        <w:t>tación subjetiva pertinente para dicha estructura de imputación excede a las prete</w:t>
      </w:r>
      <w:r w:rsidRPr="00783ED1">
        <w:rPr>
          <w:rFonts w:ascii="Myriad Pro" w:hAnsi="Myriad Pro"/>
          <w:sz w:val="24"/>
          <w:szCs w:val="24"/>
        </w:rPr>
        <w:t>n</w:t>
      </w:r>
      <w:r w:rsidRPr="00783ED1">
        <w:rPr>
          <w:rFonts w:ascii="Myriad Pro" w:hAnsi="Myriad Pro"/>
          <w:sz w:val="24"/>
          <w:szCs w:val="24"/>
        </w:rPr>
        <w:t xml:space="preserve">siones de este trabajo y podrá quedar para otra oportunidad. </w:t>
      </w:r>
    </w:p>
    <w:p w14:paraId="49C9B95A" w14:textId="77777777" w:rsidR="00C67EE0" w:rsidRPr="00783ED1" w:rsidRDefault="00C67EE0" w:rsidP="00783ED1">
      <w:pPr>
        <w:spacing w:before="200"/>
        <w:jc w:val="both"/>
        <w:rPr>
          <w:rFonts w:ascii="Myriad Pro" w:hAnsi="Myriad Pro"/>
          <w:sz w:val="24"/>
          <w:szCs w:val="24"/>
        </w:rPr>
      </w:pPr>
    </w:p>
    <w:p w14:paraId="73723C40" w14:textId="77777777" w:rsidR="006F174E" w:rsidRPr="00C67EE0" w:rsidRDefault="006F174E" w:rsidP="00C67EE0">
      <w:pPr>
        <w:rPr>
          <w:rFonts w:ascii="Myriad Pro" w:hAnsi="Myriad Pro"/>
          <w:b/>
          <w:sz w:val="24"/>
          <w:szCs w:val="24"/>
          <w:lang w:val="es-MX"/>
        </w:rPr>
      </w:pPr>
      <w:r w:rsidRPr="00C67EE0">
        <w:rPr>
          <w:rFonts w:ascii="Myriad Pro" w:hAnsi="Myriad Pro"/>
          <w:b/>
          <w:sz w:val="24"/>
          <w:szCs w:val="24"/>
          <w:lang w:val="es-MX"/>
        </w:rPr>
        <w:t>Reconocimientos</w:t>
      </w:r>
    </w:p>
    <w:p w14:paraId="007E4F9A" w14:textId="6526D46B" w:rsidR="006F174E" w:rsidRPr="00783ED1" w:rsidRDefault="006F174E" w:rsidP="006F174E">
      <w:pPr>
        <w:pStyle w:val="Prrafodelista"/>
        <w:ind w:left="0"/>
        <w:jc w:val="both"/>
        <w:rPr>
          <w:rFonts w:ascii="Myriad Pro" w:hAnsi="Myriad Pro"/>
          <w:sz w:val="24"/>
          <w:szCs w:val="24"/>
        </w:rPr>
      </w:pPr>
      <w:r>
        <w:rPr>
          <w:rFonts w:ascii="Myriad Pro" w:hAnsi="Myriad Pro"/>
          <w:sz w:val="24"/>
          <w:szCs w:val="24"/>
          <w:lang w:val="es-MX"/>
        </w:rPr>
        <w:tab/>
      </w:r>
      <w:r w:rsidR="00783ED1" w:rsidRPr="00783ED1">
        <w:rPr>
          <w:rFonts w:ascii="Myriad Pro" w:hAnsi="Myriad Pro"/>
          <w:sz w:val="24"/>
          <w:szCs w:val="24"/>
          <w:lang w:val="es-MX"/>
        </w:rPr>
        <w:t>El autor agradece la lectura atenta de un primer borrador de este texto -y su colaboración con la edición del mismo- al ayudante ad honorem del Departamento de Ciencias Penales de la Universidad de Chile, don Joaquín Rojas-May.</w:t>
      </w:r>
    </w:p>
    <w:p w14:paraId="5AD886AA" w14:textId="77777777" w:rsidR="00C67EE0" w:rsidRDefault="00C67EE0" w:rsidP="00C67EE0">
      <w:pPr>
        <w:tabs>
          <w:tab w:val="left" w:pos="3480"/>
        </w:tabs>
        <w:rPr>
          <w:rFonts w:ascii="Myriad Pro" w:hAnsi="Myriad Pro"/>
          <w:b/>
          <w:sz w:val="24"/>
          <w:szCs w:val="24"/>
          <w:lang w:val="pt-BR" w:eastAsia="es-ES"/>
        </w:rPr>
      </w:pPr>
    </w:p>
    <w:p w14:paraId="420E019C" w14:textId="3E0E6872" w:rsidR="00971B30" w:rsidRPr="00C67EE0" w:rsidRDefault="00971B30" w:rsidP="00C67EE0">
      <w:pPr>
        <w:tabs>
          <w:tab w:val="left" w:pos="3480"/>
        </w:tabs>
        <w:rPr>
          <w:rFonts w:ascii="Myriad Pro" w:hAnsi="Myriad Pro"/>
          <w:b/>
          <w:sz w:val="24"/>
          <w:szCs w:val="24"/>
          <w:lang w:val="pt-BR" w:eastAsia="es-ES"/>
        </w:rPr>
      </w:pPr>
      <w:r w:rsidRPr="00C67EE0">
        <w:rPr>
          <w:rFonts w:ascii="Myriad Pro" w:hAnsi="Myriad Pro"/>
          <w:b/>
          <w:sz w:val="24"/>
          <w:szCs w:val="24"/>
          <w:lang w:val="pt-BR" w:eastAsia="es-ES"/>
        </w:rPr>
        <w:t>Referencias</w:t>
      </w:r>
      <w:r w:rsidR="00D52B57" w:rsidRPr="00C67EE0">
        <w:rPr>
          <w:rFonts w:ascii="Myriad Pro" w:hAnsi="Myriad Pro"/>
          <w:b/>
          <w:sz w:val="24"/>
          <w:szCs w:val="24"/>
          <w:lang w:val="pt-BR" w:eastAsia="es-ES"/>
        </w:rPr>
        <w:t xml:space="preserve"> Bibli</w:t>
      </w:r>
      <w:r w:rsidRPr="00C67EE0">
        <w:rPr>
          <w:rFonts w:ascii="Myriad Pro" w:hAnsi="Myriad Pro"/>
          <w:b/>
          <w:sz w:val="24"/>
          <w:szCs w:val="24"/>
          <w:lang w:val="pt-BR" w:eastAsia="es-ES"/>
        </w:rPr>
        <w:t>ográficas</w:t>
      </w:r>
    </w:p>
    <w:p w14:paraId="2AD91FBF"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Aichele, A. (2011). Ex contradictione quodlibet–die untauglichkeit der äquiv</w:t>
      </w:r>
      <w:r w:rsidRPr="009C352D">
        <w:rPr>
          <w:rFonts w:ascii="Myriad Pro" w:hAnsi="Myriad Pro"/>
          <w:sz w:val="24"/>
          <w:szCs w:val="24"/>
        </w:rPr>
        <w:t>a</w:t>
      </w:r>
      <w:r w:rsidRPr="009C352D">
        <w:rPr>
          <w:rFonts w:ascii="Myriad Pro" w:hAnsi="Myriad Pro"/>
          <w:sz w:val="24"/>
          <w:szCs w:val="24"/>
        </w:rPr>
        <w:t>lenztheorie zur erklärung von kausalität, die untauglichkeit der lehre von der objekt</w:t>
      </w:r>
      <w:r w:rsidRPr="009C352D">
        <w:rPr>
          <w:rFonts w:ascii="Myriad Pro" w:hAnsi="Myriad Pro"/>
          <w:sz w:val="24"/>
          <w:szCs w:val="24"/>
        </w:rPr>
        <w:t>i</w:t>
      </w:r>
      <w:r w:rsidRPr="009C352D">
        <w:rPr>
          <w:rFonts w:ascii="Myriad Pro" w:hAnsi="Myriad Pro"/>
          <w:sz w:val="24"/>
          <w:szCs w:val="24"/>
        </w:rPr>
        <w:t xml:space="preserve">ven zurechnung zur rechtfertigung von zurechnungsurteilen und ein vorschlag zur güte. </w:t>
      </w:r>
      <w:r w:rsidRPr="009C352D">
        <w:rPr>
          <w:rFonts w:ascii="Myriad Pro" w:hAnsi="Myriad Pro"/>
          <w:i/>
          <w:sz w:val="24"/>
          <w:szCs w:val="24"/>
        </w:rPr>
        <w:t>Zeitschrift für die gesamte strafrechtswissenschaft, 123</w:t>
      </w:r>
      <w:r w:rsidRPr="009C352D">
        <w:rPr>
          <w:rFonts w:ascii="Myriad Pro" w:hAnsi="Myriad Pro"/>
          <w:sz w:val="24"/>
          <w:szCs w:val="24"/>
        </w:rPr>
        <w:t xml:space="preserve">(2), 260-283, doi: </w:t>
      </w:r>
      <w:hyperlink r:id="rId11" w:history="1">
        <w:r w:rsidRPr="009C352D">
          <w:rPr>
            <w:rStyle w:val="Hipervnculo"/>
            <w:rFonts w:ascii="Myriad Pro" w:hAnsi="Myriad Pro"/>
            <w:color w:val="auto"/>
            <w:sz w:val="24"/>
            <w:szCs w:val="24"/>
            <w:u w:val="none"/>
          </w:rPr>
          <w:t>10.1515/zstw.2011.260</w:t>
        </w:r>
      </w:hyperlink>
    </w:p>
    <w:p w14:paraId="66A3A06D" w14:textId="77777777" w:rsidR="009C352D" w:rsidRPr="009C352D" w:rsidRDefault="009C352D" w:rsidP="004E104E">
      <w:pPr>
        <w:spacing w:before="180" w:after="180"/>
        <w:jc w:val="both"/>
        <w:rPr>
          <w:rFonts w:ascii="Myriad Pro" w:hAnsi="Myriad Pro"/>
          <w:sz w:val="24"/>
          <w:szCs w:val="24"/>
        </w:rPr>
      </w:pPr>
      <w:r w:rsidRPr="009F33BF">
        <w:rPr>
          <w:rFonts w:ascii="Myriad Pro" w:hAnsi="Myriad Pro"/>
          <w:sz w:val="24"/>
          <w:szCs w:val="24"/>
          <w:lang w:val="en-US"/>
        </w:rPr>
        <w:t xml:space="preserve">Amelung, K. (1999). Die „Neutralisierung" geschäftsmäßiger Beiträge zu fremden Straftaten im Rahmen des Beihilfetatbestands. </w:t>
      </w:r>
      <w:proofErr w:type="gramStart"/>
      <w:r w:rsidRPr="009C352D">
        <w:rPr>
          <w:rFonts w:ascii="Myriad Pro" w:hAnsi="Myriad Pro"/>
          <w:sz w:val="24"/>
          <w:szCs w:val="24"/>
          <w:lang w:val="en-US"/>
        </w:rPr>
        <w:t xml:space="preserve">En E. Samson, F. Dencker, P. Frisch, H. Frister, and W. Reiß, </w:t>
      </w:r>
      <w:r w:rsidRPr="009C352D">
        <w:rPr>
          <w:rFonts w:ascii="Myriad Pro" w:hAnsi="Myriad Pro"/>
          <w:i/>
          <w:sz w:val="24"/>
          <w:szCs w:val="24"/>
          <w:lang w:val="en-US"/>
        </w:rPr>
        <w:t xml:space="preserve">Festschrift für Gerald Grünwald zum siebzigsten Geburtstag </w:t>
      </w:r>
      <w:r w:rsidRPr="009C352D">
        <w:rPr>
          <w:rFonts w:ascii="Myriad Pro" w:hAnsi="Myriad Pro"/>
          <w:sz w:val="24"/>
          <w:szCs w:val="24"/>
          <w:lang w:val="en-US"/>
        </w:rPr>
        <w:t>(pp.9-30).</w:t>
      </w:r>
      <w:proofErr w:type="gramEnd"/>
      <w:r w:rsidRPr="009C352D">
        <w:rPr>
          <w:rFonts w:ascii="Myriad Pro" w:hAnsi="Myriad Pro"/>
          <w:sz w:val="24"/>
          <w:szCs w:val="24"/>
          <w:lang w:val="en-US"/>
        </w:rPr>
        <w:t xml:space="preserve"> </w:t>
      </w:r>
      <w:r w:rsidRPr="009C352D">
        <w:rPr>
          <w:rFonts w:ascii="Myriad Pro" w:hAnsi="Myriad Pro"/>
          <w:sz w:val="24"/>
          <w:szCs w:val="24"/>
        </w:rPr>
        <w:t>Baden-Baden: Nomos.</w:t>
      </w:r>
    </w:p>
    <w:p w14:paraId="2E4E5EB9" w14:textId="77777777" w:rsidR="009C352D" w:rsidRPr="009C352D" w:rsidRDefault="009C352D" w:rsidP="004E104E">
      <w:pPr>
        <w:spacing w:before="180" w:after="180"/>
        <w:jc w:val="both"/>
        <w:rPr>
          <w:rStyle w:val="Hipervnculo"/>
          <w:rFonts w:ascii="Myriad Pro" w:hAnsi="Myriad Pro"/>
          <w:bCs/>
          <w:color w:val="auto"/>
          <w:sz w:val="24"/>
          <w:szCs w:val="24"/>
          <w:u w:val="none"/>
          <w:lang w:val="en-US"/>
        </w:rPr>
      </w:pPr>
      <w:r w:rsidRPr="009C352D">
        <w:rPr>
          <w:rFonts w:ascii="Myriad Pro" w:hAnsi="Myriad Pro"/>
          <w:sz w:val="24"/>
          <w:szCs w:val="24"/>
        </w:rPr>
        <w:t>Ananías Zaror</w:t>
      </w:r>
      <w:r w:rsidRPr="009C352D">
        <w:rPr>
          <w:rFonts w:ascii="Myriad Pro" w:hAnsi="Myriad Pro"/>
          <w:bCs/>
          <w:sz w:val="24"/>
          <w:szCs w:val="24"/>
          <w:lang w:val="es-ES"/>
        </w:rPr>
        <w:t xml:space="preserve">, I. (2010). Prohibición de regreso. </w:t>
      </w:r>
      <w:r w:rsidRPr="009C352D">
        <w:rPr>
          <w:rFonts w:ascii="Myriad Pro" w:hAnsi="Myriad Pro"/>
          <w:bCs/>
          <w:i/>
          <w:sz w:val="24"/>
          <w:szCs w:val="24"/>
          <w:lang w:val="es-ES"/>
        </w:rPr>
        <w:t>Revista de estudios de la justicia</w:t>
      </w:r>
      <w:r w:rsidRPr="009C352D">
        <w:rPr>
          <w:rFonts w:ascii="Myriad Pro" w:hAnsi="Myriad Pro"/>
          <w:bCs/>
          <w:sz w:val="24"/>
          <w:szCs w:val="24"/>
          <w:lang w:val="es-ES"/>
        </w:rPr>
        <w:t xml:space="preserve">, (13), 229–252. </w:t>
      </w:r>
      <w:r w:rsidRPr="009C352D">
        <w:rPr>
          <w:rFonts w:ascii="Myriad Pro" w:hAnsi="Myriad Pro"/>
          <w:bCs/>
          <w:sz w:val="24"/>
          <w:szCs w:val="24"/>
          <w:lang w:val="en-US"/>
        </w:rPr>
        <w:t xml:space="preserve">Recuperado de </w:t>
      </w:r>
      <w:hyperlink r:id="rId12" w:history="1">
        <w:r w:rsidRPr="009C352D">
          <w:rPr>
            <w:rStyle w:val="Hipervnculo"/>
            <w:rFonts w:ascii="Myriad Pro" w:hAnsi="Myriad Pro"/>
            <w:bCs/>
            <w:color w:val="auto"/>
            <w:sz w:val="24"/>
            <w:szCs w:val="24"/>
            <w:u w:val="none"/>
            <w:lang w:val="en-US"/>
          </w:rPr>
          <w:t>https://bit.ly/3n9hxpu</w:t>
        </w:r>
      </w:hyperlink>
    </w:p>
    <w:p w14:paraId="0F94B2FB" w14:textId="77777777" w:rsidR="009C352D" w:rsidRPr="009C352D" w:rsidRDefault="009C352D" w:rsidP="004E104E">
      <w:pPr>
        <w:spacing w:before="180" w:after="180"/>
        <w:jc w:val="both"/>
        <w:rPr>
          <w:rFonts w:ascii="Myriad Pro" w:hAnsi="Myriad Pro" w:cs="Arial"/>
          <w:sz w:val="24"/>
          <w:szCs w:val="24"/>
          <w:lang w:val="en-US"/>
        </w:rPr>
      </w:pPr>
      <w:proofErr w:type="gramStart"/>
      <w:r w:rsidRPr="009C352D">
        <w:rPr>
          <w:rFonts w:ascii="Myriad Pro" w:hAnsi="Myriad Pro" w:cs="Arial"/>
          <w:sz w:val="24"/>
          <w:szCs w:val="24"/>
          <w:lang w:val="en-US"/>
        </w:rPr>
        <w:t>B. und S. gegen Staatsanwaltschaft des Kantons Basel-Stadt, BGE 119 IV 289</w:t>
      </w:r>
      <w:r w:rsidRPr="009C352D">
        <w:rPr>
          <w:rFonts w:ascii="Myriad Pro" w:hAnsi="Myriad Pro" w:cs="Arial"/>
          <w:sz w:val="24"/>
          <w:szCs w:val="24"/>
          <w:shd w:val="clear" w:color="auto" w:fill="C9C2D1" w:themeFill="background2"/>
          <w:lang w:val="en-US"/>
        </w:rPr>
        <w:t xml:space="preserve"> </w:t>
      </w:r>
      <w:r w:rsidRPr="009C352D">
        <w:rPr>
          <w:rFonts w:ascii="Myriad Pro" w:hAnsi="Myriad Pro" w:cs="Arial"/>
          <w:sz w:val="24"/>
          <w:szCs w:val="24"/>
          <w:lang w:val="en-US"/>
        </w:rPr>
        <w:t>(</w:t>
      </w:r>
      <w:r w:rsidRPr="009C352D">
        <w:rPr>
          <w:rFonts w:ascii="Myriad Pro" w:hAnsi="Myriad Pro"/>
          <w:sz w:val="24"/>
          <w:szCs w:val="24"/>
          <w:lang w:val="en-US"/>
        </w:rPr>
        <w:t xml:space="preserve">Schweizerisches Bundesgericht </w:t>
      </w:r>
      <w:r w:rsidRPr="009C352D">
        <w:rPr>
          <w:rFonts w:ascii="Myriad Pro" w:hAnsi="Myriad Pro" w:cs="Arial"/>
          <w:sz w:val="24"/>
          <w:szCs w:val="24"/>
          <w:lang w:val="en-US"/>
        </w:rPr>
        <w:t>13.</w:t>
      </w:r>
      <w:proofErr w:type="gramEnd"/>
      <w:r w:rsidRPr="009C352D">
        <w:rPr>
          <w:rFonts w:ascii="Myriad Pro" w:hAnsi="Myriad Pro" w:cs="Arial"/>
          <w:sz w:val="24"/>
          <w:szCs w:val="24"/>
          <w:lang w:val="en-US"/>
        </w:rPr>
        <w:t xml:space="preserve"> </w:t>
      </w:r>
      <w:proofErr w:type="gramStart"/>
      <w:r w:rsidRPr="009C352D">
        <w:rPr>
          <w:rFonts w:ascii="Myriad Pro" w:hAnsi="Myriad Pro" w:cs="Arial"/>
          <w:sz w:val="24"/>
          <w:szCs w:val="24"/>
          <w:lang w:val="en-US"/>
        </w:rPr>
        <w:t>Oktober 1993).</w:t>
      </w:r>
      <w:proofErr w:type="gramEnd"/>
      <w:r w:rsidRPr="009C352D">
        <w:rPr>
          <w:rFonts w:ascii="Myriad Pro" w:hAnsi="Myriad Pro" w:cs="Arial"/>
          <w:sz w:val="24"/>
          <w:szCs w:val="24"/>
          <w:lang w:val="en-US"/>
        </w:rPr>
        <w:t xml:space="preserve"> Recuperado de </w:t>
      </w:r>
      <w:hyperlink r:id="rId13" w:history="1">
        <w:r w:rsidRPr="009C352D">
          <w:rPr>
            <w:rStyle w:val="Hipervnculo"/>
            <w:rFonts w:ascii="Myriad Pro" w:hAnsi="Myriad Pro" w:cs="Arial"/>
            <w:color w:val="auto"/>
            <w:sz w:val="24"/>
            <w:szCs w:val="24"/>
            <w:u w:val="none"/>
            <w:lang w:val="en-US"/>
          </w:rPr>
          <w:t>https://bit.ly/2RFZxYU</w:t>
        </w:r>
      </w:hyperlink>
    </w:p>
    <w:p w14:paraId="56A2FD81"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Beckemper, K. (2001). </w:t>
      </w:r>
      <w:proofErr w:type="gramStart"/>
      <w:r w:rsidRPr="009C352D">
        <w:rPr>
          <w:rFonts w:ascii="Myriad Pro" w:hAnsi="Myriad Pro"/>
          <w:sz w:val="24"/>
          <w:szCs w:val="24"/>
          <w:lang w:val="en-US"/>
        </w:rPr>
        <w:t>Strafbare beihilfe durch alltägliche geschäftsvorgänge.</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Jura</w:t>
      </w:r>
      <w:r w:rsidRPr="009C352D">
        <w:rPr>
          <w:rFonts w:ascii="Myriad Pro" w:hAnsi="Myriad Pro"/>
          <w:sz w:val="24"/>
          <w:szCs w:val="24"/>
          <w:lang w:val="en-US"/>
        </w:rPr>
        <w:t xml:space="preserve">, (3), 163-169. </w:t>
      </w:r>
    </w:p>
    <w:p w14:paraId="45E43227" w14:textId="77777777" w:rsidR="009C352D" w:rsidRPr="009C352D" w:rsidRDefault="009C352D" w:rsidP="004E104E">
      <w:pPr>
        <w:spacing w:before="180" w:after="180"/>
        <w:jc w:val="both"/>
        <w:rPr>
          <w:rFonts w:ascii="Myriad Pro" w:hAnsi="Myriad Pro"/>
          <w:sz w:val="24"/>
          <w:szCs w:val="24"/>
          <w:lang w:val="es-ES"/>
        </w:rPr>
      </w:pPr>
      <w:r w:rsidRPr="009C352D">
        <w:rPr>
          <w:rFonts w:ascii="Myriad Pro" w:hAnsi="Myriad Pro"/>
          <w:sz w:val="24"/>
          <w:szCs w:val="24"/>
          <w:lang w:val="en-US"/>
        </w:rPr>
        <w:t xml:space="preserve">Beihilfe zum Betrug, 5 </w:t>
      </w:r>
      <w:proofErr w:type="gramStart"/>
      <w:r w:rsidRPr="009C352D">
        <w:rPr>
          <w:rFonts w:ascii="Myriad Pro" w:hAnsi="Myriad Pro"/>
          <w:sz w:val="24"/>
          <w:szCs w:val="24"/>
          <w:lang w:val="en-US"/>
        </w:rPr>
        <w:t>StR</w:t>
      </w:r>
      <w:proofErr w:type="gramEnd"/>
      <w:r w:rsidRPr="009C352D">
        <w:rPr>
          <w:rFonts w:ascii="Myriad Pro" w:hAnsi="Myriad Pro"/>
          <w:sz w:val="24"/>
          <w:szCs w:val="24"/>
          <w:lang w:val="en-US"/>
        </w:rPr>
        <w:t xml:space="preserve"> 729/98 (Bundesgerichtshof 20. </w:t>
      </w:r>
      <w:r w:rsidRPr="009C352D">
        <w:rPr>
          <w:rFonts w:ascii="Myriad Pro" w:hAnsi="Myriad Pro"/>
          <w:sz w:val="24"/>
          <w:szCs w:val="24"/>
          <w:lang w:val="es-ES"/>
        </w:rPr>
        <w:t>September 1999). Recup</w:t>
      </w:r>
      <w:r w:rsidRPr="009C352D">
        <w:rPr>
          <w:rFonts w:ascii="Myriad Pro" w:hAnsi="Myriad Pro"/>
          <w:sz w:val="24"/>
          <w:szCs w:val="24"/>
          <w:lang w:val="es-ES"/>
        </w:rPr>
        <w:t>e</w:t>
      </w:r>
      <w:r w:rsidRPr="009C352D">
        <w:rPr>
          <w:rFonts w:ascii="Myriad Pro" w:hAnsi="Myriad Pro"/>
          <w:sz w:val="24"/>
          <w:szCs w:val="24"/>
          <w:lang w:val="es-ES"/>
        </w:rPr>
        <w:t xml:space="preserve">rado de </w:t>
      </w:r>
      <w:hyperlink r:id="rId14" w:history="1">
        <w:r w:rsidRPr="009C352D">
          <w:rPr>
            <w:rStyle w:val="Hipervnculo"/>
            <w:rFonts w:ascii="Myriad Pro" w:hAnsi="Myriad Pro"/>
            <w:color w:val="auto"/>
            <w:sz w:val="24"/>
            <w:szCs w:val="24"/>
            <w:u w:val="none"/>
            <w:lang w:val="es-ES"/>
          </w:rPr>
          <w:t>https://bit.ly/3oX9YmN</w:t>
        </w:r>
      </w:hyperlink>
    </w:p>
    <w:p w14:paraId="5E64D869"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Beihilfe zur Steuerhinterziehung, 5 </w:t>
      </w:r>
      <w:proofErr w:type="gramStart"/>
      <w:r w:rsidRPr="009C352D">
        <w:rPr>
          <w:rFonts w:ascii="Myriad Pro" w:hAnsi="Myriad Pro"/>
          <w:sz w:val="24"/>
          <w:szCs w:val="24"/>
          <w:lang w:val="en-US"/>
        </w:rPr>
        <w:t>StR</w:t>
      </w:r>
      <w:proofErr w:type="gramEnd"/>
      <w:r w:rsidRPr="009C352D">
        <w:rPr>
          <w:rFonts w:ascii="Myriad Pro" w:hAnsi="Myriad Pro"/>
          <w:sz w:val="24"/>
          <w:szCs w:val="24"/>
          <w:lang w:val="en-US"/>
        </w:rPr>
        <w:t xml:space="preserve"> 624/99 (Bundesgerichtshof 1. August 2000). Recuperado de </w:t>
      </w:r>
      <w:hyperlink r:id="rId15" w:history="1">
        <w:r w:rsidRPr="009C352D">
          <w:rPr>
            <w:rStyle w:val="Hipervnculo"/>
            <w:rFonts w:ascii="Myriad Pro" w:hAnsi="Myriad Pro"/>
            <w:color w:val="auto"/>
            <w:sz w:val="24"/>
            <w:szCs w:val="24"/>
            <w:u w:val="none"/>
            <w:lang w:val="en-US"/>
          </w:rPr>
          <w:t>https://bit.ly/33Egwgm</w:t>
        </w:r>
      </w:hyperlink>
    </w:p>
    <w:p w14:paraId="5DCF109B" w14:textId="77777777" w:rsidR="009C352D" w:rsidRPr="009C352D" w:rsidRDefault="009C352D" w:rsidP="004E104E">
      <w:pPr>
        <w:spacing w:before="180" w:after="180"/>
        <w:jc w:val="both"/>
        <w:rPr>
          <w:rStyle w:val="Hipervnculo"/>
          <w:rFonts w:ascii="Myriad Pro" w:hAnsi="Myriad Pro" w:cs="Open Sans"/>
          <w:color w:val="auto"/>
          <w:sz w:val="24"/>
          <w:szCs w:val="24"/>
          <w:u w:val="none"/>
          <w:shd w:val="clear" w:color="auto" w:fill="FFFFFF"/>
          <w:lang w:val="en-US"/>
        </w:rPr>
      </w:pPr>
      <w:r w:rsidRPr="009C352D">
        <w:rPr>
          <w:rFonts w:ascii="Myriad Pro" w:hAnsi="Myriad Pro"/>
          <w:sz w:val="24"/>
          <w:szCs w:val="24"/>
          <w:lang w:val="en-US"/>
        </w:rPr>
        <w:lastRenderedPageBreak/>
        <w:t xml:space="preserve">Bloy, R. (1985). </w:t>
      </w:r>
      <w:r w:rsidRPr="009C352D">
        <w:rPr>
          <w:rFonts w:ascii="Myriad Pro" w:hAnsi="Myriad Pro"/>
          <w:i/>
          <w:sz w:val="24"/>
          <w:szCs w:val="24"/>
          <w:lang w:val="en-US"/>
        </w:rPr>
        <w:t xml:space="preserve">Die Beteiligungsform </w:t>
      </w:r>
      <w:proofErr w:type="gramStart"/>
      <w:r w:rsidRPr="009C352D">
        <w:rPr>
          <w:rFonts w:ascii="Myriad Pro" w:hAnsi="Myriad Pro"/>
          <w:i/>
          <w:sz w:val="24"/>
          <w:szCs w:val="24"/>
          <w:lang w:val="en-US"/>
        </w:rPr>
        <w:t>als</w:t>
      </w:r>
      <w:proofErr w:type="gramEnd"/>
      <w:r w:rsidRPr="009C352D">
        <w:rPr>
          <w:rFonts w:ascii="Myriad Pro" w:hAnsi="Myriad Pro"/>
          <w:i/>
          <w:sz w:val="24"/>
          <w:szCs w:val="24"/>
          <w:lang w:val="en-US"/>
        </w:rPr>
        <w:t xml:space="preserve"> Zurechnungstypus im Strafrecht</w:t>
      </w:r>
      <w:r w:rsidRPr="009C352D">
        <w:rPr>
          <w:rFonts w:ascii="Myriad Pro" w:hAnsi="Myriad Pro"/>
          <w:sz w:val="24"/>
          <w:szCs w:val="24"/>
          <w:lang w:val="en-US"/>
        </w:rPr>
        <w:t>. Berlin: Dunc</w:t>
      </w:r>
      <w:r w:rsidRPr="009C352D">
        <w:rPr>
          <w:rFonts w:ascii="Myriad Pro" w:hAnsi="Myriad Pro"/>
          <w:sz w:val="24"/>
          <w:szCs w:val="24"/>
          <w:lang w:val="en-US"/>
        </w:rPr>
        <w:t>k</w:t>
      </w:r>
      <w:r w:rsidRPr="009C352D">
        <w:rPr>
          <w:rFonts w:ascii="Myriad Pro" w:hAnsi="Myriad Pro"/>
          <w:sz w:val="24"/>
          <w:szCs w:val="24"/>
          <w:lang w:val="en-US"/>
        </w:rPr>
        <w:t xml:space="preserve">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16" w:history="1">
        <w:r w:rsidRPr="009C352D">
          <w:rPr>
            <w:rStyle w:val="Hipervnculo"/>
            <w:rFonts w:ascii="Myriad Pro" w:hAnsi="Myriad Pro" w:cs="Open Sans"/>
            <w:color w:val="auto"/>
            <w:sz w:val="24"/>
            <w:szCs w:val="24"/>
            <w:u w:val="none"/>
            <w:lang w:val="en-US"/>
          </w:rPr>
          <w:t>10.3790/978-3-428-45743-4</w:t>
        </w:r>
      </w:hyperlink>
    </w:p>
    <w:p w14:paraId="6BBCE9B1"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Bordellfall, RGSt 39, 44 (Reichsgericht in Strafsachen 14.</w:t>
      </w:r>
      <w:proofErr w:type="gramEnd"/>
      <w:r w:rsidRPr="009C352D">
        <w:rPr>
          <w:rFonts w:ascii="Myriad Pro" w:hAnsi="Myriad Pro"/>
          <w:sz w:val="24"/>
          <w:szCs w:val="24"/>
          <w:lang w:val="en-US"/>
        </w:rPr>
        <w:t xml:space="preserve"> Juni 1906)</w:t>
      </w:r>
    </w:p>
    <w:p w14:paraId="495E0DE8"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Brennenstuhl, W. (1975).</w:t>
      </w:r>
      <w:proofErr w:type="gramEnd"/>
      <w:r w:rsidRPr="009C352D">
        <w:rPr>
          <w:rFonts w:ascii="Myriad Pro" w:hAnsi="Myriad Pro"/>
          <w:sz w:val="24"/>
          <w:szCs w:val="24"/>
          <w:lang w:val="en-US"/>
        </w:rPr>
        <w:t xml:space="preserve"> </w:t>
      </w:r>
      <w:proofErr w:type="gramStart"/>
      <w:r w:rsidRPr="009C352D">
        <w:rPr>
          <w:rFonts w:ascii="Myriad Pro" w:hAnsi="Myriad Pro"/>
          <w:i/>
          <w:sz w:val="24"/>
          <w:szCs w:val="24"/>
          <w:lang w:val="en-US"/>
        </w:rPr>
        <w:t>Handlungstheorie und handlungslogik.</w:t>
      </w:r>
      <w:proofErr w:type="gramEnd"/>
      <w:r w:rsidRPr="009C352D">
        <w:rPr>
          <w:rFonts w:ascii="Myriad Pro" w:hAnsi="Myriad Pro"/>
          <w:i/>
          <w:sz w:val="24"/>
          <w:szCs w:val="24"/>
          <w:lang w:val="en-US"/>
        </w:rPr>
        <w:t xml:space="preserve"> </w:t>
      </w:r>
      <w:r w:rsidRPr="009C352D">
        <w:rPr>
          <w:rFonts w:ascii="Myriad Pro" w:hAnsi="Myriad Pro"/>
          <w:sz w:val="24"/>
          <w:szCs w:val="24"/>
          <w:lang w:val="en-US"/>
        </w:rPr>
        <w:t>Kronberg: Scriptor.</w:t>
      </w:r>
    </w:p>
    <w:p w14:paraId="3848589F" w14:textId="77777777" w:rsidR="009C352D" w:rsidRPr="009C352D" w:rsidRDefault="009C352D" w:rsidP="004E104E">
      <w:pPr>
        <w:spacing w:before="180" w:after="180"/>
        <w:jc w:val="both"/>
        <w:rPr>
          <w:rStyle w:val="Hipervnculo"/>
          <w:rFonts w:ascii="Myriad Pro" w:hAnsi="Myriad Pro"/>
          <w:color w:val="auto"/>
          <w:sz w:val="24"/>
          <w:szCs w:val="24"/>
          <w:u w:val="none"/>
        </w:rPr>
      </w:pPr>
      <w:proofErr w:type="gramStart"/>
      <w:r w:rsidRPr="009C352D">
        <w:rPr>
          <w:rFonts w:ascii="Myriad Pro" w:hAnsi="Myriad Pro"/>
          <w:sz w:val="24"/>
          <w:szCs w:val="24"/>
          <w:lang w:val="en-US"/>
        </w:rPr>
        <w:t>Brennenstuhl, W. (1980).</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Ziele der handlungslogik.</w:t>
      </w:r>
      <w:proofErr w:type="gramEnd"/>
      <w:r w:rsidRPr="009C352D">
        <w:rPr>
          <w:rFonts w:ascii="Myriad Pro" w:hAnsi="Myriad Pro"/>
          <w:sz w:val="24"/>
          <w:szCs w:val="24"/>
          <w:lang w:val="en-US"/>
        </w:rPr>
        <w:t xml:space="preserve"> En H. Lenk (Ed.), </w:t>
      </w:r>
      <w:r w:rsidRPr="009C352D">
        <w:rPr>
          <w:rFonts w:ascii="Myriad Pro" w:hAnsi="Myriad Pro"/>
          <w:i/>
          <w:sz w:val="24"/>
          <w:szCs w:val="24"/>
          <w:lang w:val="en-US"/>
        </w:rPr>
        <w:t>Handlungstheor</w:t>
      </w:r>
      <w:r w:rsidRPr="009C352D">
        <w:rPr>
          <w:rFonts w:ascii="Myriad Pro" w:hAnsi="Myriad Pro"/>
          <w:i/>
          <w:sz w:val="24"/>
          <w:szCs w:val="24"/>
          <w:lang w:val="en-US"/>
        </w:rPr>
        <w:t>i</w:t>
      </w:r>
      <w:r w:rsidRPr="009C352D">
        <w:rPr>
          <w:rFonts w:ascii="Myriad Pro" w:hAnsi="Myriad Pro"/>
          <w:i/>
          <w:sz w:val="24"/>
          <w:szCs w:val="24"/>
          <w:lang w:val="en-US"/>
        </w:rPr>
        <w:t>en interdisziplinär: handlungslogik, formale und sprachwissenschaftliche handlungsth</w:t>
      </w:r>
      <w:r w:rsidRPr="009C352D">
        <w:rPr>
          <w:rFonts w:ascii="Myriad Pro" w:hAnsi="Myriad Pro"/>
          <w:i/>
          <w:sz w:val="24"/>
          <w:szCs w:val="24"/>
          <w:lang w:val="en-US"/>
        </w:rPr>
        <w:t>e</w:t>
      </w:r>
      <w:r w:rsidRPr="009C352D">
        <w:rPr>
          <w:rFonts w:ascii="Myriad Pro" w:hAnsi="Myriad Pro"/>
          <w:i/>
          <w:sz w:val="24"/>
          <w:szCs w:val="24"/>
          <w:lang w:val="en-US"/>
        </w:rPr>
        <w:t xml:space="preserve">orien </w:t>
      </w:r>
      <w:r w:rsidRPr="009C352D">
        <w:rPr>
          <w:rFonts w:ascii="Myriad Pro" w:hAnsi="Myriad Pro"/>
          <w:sz w:val="24"/>
          <w:szCs w:val="24"/>
          <w:lang w:val="en-US"/>
        </w:rPr>
        <w:t xml:space="preserve">(Vol. 1, pp. 35-66). </w:t>
      </w:r>
      <w:r w:rsidRPr="009C352D">
        <w:rPr>
          <w:rFonts w:ascii="Myriad Pro" w:hAnsi="Myriad Pro"/>
          <w:sz w:val="24"/>
          <w:szCs w:val="24"/>
        </w:rPr>
        <w:t xml:space="preserve">München: Wilhem Fink. Recuperado de </w:t>
      </w:r>
      <w:hyperlink r:id="rId17" w:history="1">
        <w:r w:rsidRPr="009C352D">
          <w:rPr>
            <w:rStyle w:val="Hipervnculo"/>
            <w:rFonts w:ascii="Myriad Pro" w:hAnsi="Myriad Pro"/>
            <w:color w:val="auto"/>
            <w:sz w:val="24"/>
            <w:szCs w:val="24"/>
            <w:u w:val="none"/>
          </w:rPr>
          <w:t>https://bit.ly/3v87NyD</w:t>
        </w:r>
      </w:hyperlink>
    </w:p>
    <w:p w14:paraId="4A7C8F59"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Código Penal. Diario Oficial de la República de Chile, Santiago, Chile, 12 de novie</w:t>
      </w:r>
      <w:r w:rsidRPr="009C352D">
        <w:rPr>
          <w:rFonts w:ascii="Myriad Pro" w:hAnsi="Myriad Pro"/>
          <w:sz w:val="24"/>
          <w:szCs w:val="24"/>
        </w:rPr>
        <w:t>m</w:t>
      </w:r>
      <w:r w:rsidRPr="009C352D">
        <w:rPr>
          <w:rFonts w:ascii="Myriad Pro" w:hAnsi="Myriad Pro"/>
          <w:sz w:val="24"/>
          <w:szCs w:val="24"/>
        </w:rPr>
        <w:t xml:space="preserve">bre de 1874. Recuperado de </w:t>
      </w:r>
      <w:hyperlink r:id="rId18" w:history="1">
        <w:r w:rsidRPr="009C352D">
          <w:rPr>
            <w:rStyle w:val="Hipervnculo"/>
            <w:rFonts w:ascii="Myriad Pro" w:hAnsi="Myriad Pro"/>
            <w:color w:val="auto"/>
            <w:sz w:val="24"/>
            <w:szCs w:val="24"/>
            <w:u w:val="none"/>
          </w:rPr>
          <w:t>http://bcn.cl/2f6m7</w:t>
        </w:r>
      </w:hyperlink>
    </w:p>
    <w:p w14:paraId="27941D07" w14:textId="77777777" w:rsidR="009C352D" w:rsidRPr="009C352D" w:rsidRDefault="009C352D" w:rsidP="004E104E">
      <w:pPr>
        <w:spacing w:before="180" w:after="180"/>
        <w:jc w:val="both"/>
        <w:rPr>
          <w:rFonts w:ascii="Myriad Pro" w:hAnsi="Myriad Pro"/>
          <w:sz w:val="24"/>
          <w:szCs w:val="24"/>
          <w:lang w:val="es-ES"/>
        </w:rPr>
      </w:pPr>
      <w:r w:rsidRPr="009C352D">
        <w:rPr>
          <w:rFonts w:ascii="Myriad Pro" w:hAnsi="Myriad Pro"/>
          <w:sz w:val="24"/>
          <w:szCs w:val="24"/>
        </w:rPr>
        <w:t>Contesse Singh,</w:t>
      </w:r>
      <w:r w:rsidRPr="009C352D">
        <w:rPr>
          <w:rFonts w:ascii="Myriad Pro" w:hAnsi="Myriad Pro"/>
          <w:sz w:val="24"/>
          <w:szCs w:val="24"/>
          <w:lang w:val="es-ES"/>
        </w:rPr>
        <w:t xml:space="preserve"> J. (2018). Tentativa de delito y concurso de personas en el hecho punible en la obra de Eduardo Novoa Monreal. En K. </w:t>
      </w:r>
      <w:r w:rsidRPr="009C352D">
        <w:rPr>
          <w:rFonts w:ascii="Myriad Pro" w:hAnsi="Myriad Pro"/>
          <w:sz w:val="24"/>
          <w:szCs w:val="24"/>
        </w:rPr>
        <w:t>Ambos y J. L. Guzmán Dalbora</w:t>
      </w:r>
      <w:r w:rsidRPr="009C352D">
        <w:rPr>
          <w:rFonts w:ascii="Myriad Pro" w:hAnsi="Myriad Pro"/>
          <w:sz w:val="24"/>
          <w:szCs w:val="24"/>
          <w:lang w:val="es-ES"/>
        </w:rPr>
        <w:t xml:space="preserve"> (Eds.), </w:t>
      </w:r>
      <w:r w:rsidRPr="009C352D">
        <w:rPr>
          <w:rFonts w:ascii="Myriad Pro" w:hAnsi="Myriad Pro"/>
          <w:i/>
          <w:sz w:val="24"/>
          <w:szCs w:val="24"/>
          <w:lang w:val="es-ES"/>
        </w:rPr>
        <w:t xml:space="preserve">Derecho y cambio social. Estudios críticos en homenaje a Eduardo Novoa Monreal </w:t>
      </w:r>
      <w:r w:rsidRPr="009C352D">
        <w:rPr>
          <w:rFonts w:ascii="Myriad Pro" w:hAnsi="Myriad Pro"/>
          <w:sz w:val="24"/>
          <w:szCs w:val="24"/>
          <w:lang w:val="es-ES"/>
        </w:rPr>
        <w:t>(pp. 113-140). Santiago: DER.</w:t>
      </w:r>
    </w:p>
    <w:p w14:paraId="782A6B42" w14:textId="77777777" w:rsidR="009C352D" w:rsidRPr="009C352D" w:rsidRDefault="009C352D" w:rsidP="004E104E">
      <w:pPr>
        <w:pStyle w:val="Textonotapie"/>
        <w:spacing w:before="180" w:after="180" w:line="276" w:lineRule="auto"/>
        <w:contextualSpacing/>
        <w:jc w:val="both"/>
        <w:rPr>
          <w:rFonts w:ascii="Myriad Pro" w:hAnsi="Myriad Pro"/>
          <w:sz w:val="24"/>
          <w:szCs w:val="24"/>
          <w:lang w:val="en-US"/>
        </w:rPr>
      </w:pPr>
      <w:r w:rsidRPr="009C352D">
        <w:rPr>
          <w:rFonts w:ascii="Myriad Pro" w:hAnsi="Myriad Pro"/>
          <w:sz w:val="24"/>
          <w:szCs w:val="24"/>
        </w:rPr>
        <w:t>Contreras Chaimovich, L. (2018). Reglas extrajurídicas y creaciones de riesgos toler</w:t>
      </w:r>
      <w:r w:rsidRPr="009C352D">
        <w:rPr>
          <w:rFonts w:ascii="Myriad Pro" w:hAnsi="Myriad Pro"/>
          <w:sz w:val="24"/>
          <w:szCs w:val="24"/>
        </w:rPr>
        <w:t>a</w:t>
      </w:r>
      <w:r w:rsidRPr="009C352D">
        <w:rPr>
          <w:rFonts w:ascii="Myriad Pro" w:hAnsi="Myriad Pro"/>
          <w:sz w:val="24"/>
          <w:szCs w:val="24"/>
        </w:rPr>
        <w:t xml:space="preserve">das o desaprobadas en los delitos culposos de homicidio y lesiones. </w:t>
      </w:r>
      <w:proofErr w:type="gramStart"/>
      <w:r w:rsidRPr="009C352D">
        <w:rPr>
          <w:rFonts w:ascii="Myriad Pro" w:hAnsi="Myriad Pro"/>
          <w:i/>
          <w:sz w:val="24"/>
          <w:szCs w:val="24"/>
          <w:lang w:val="en-US"/>
        </w:rPr>
        <w:t>Política criminal, 13</w:t>
      </w:r>
      <w:r w:rsidRPr="009C352D">
        <w:rPr>
          <w:rFonts w:ascii="Myriad Pro" w:hAnsi="Myriad Pro"/>
          <w:sz w:val="24"/>
          <w:szCs w:val="24"/>
          <w:lang w:val="en-US"/>
        </w:rPr>
        <w:t>(25), 387-444.</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19" w:history="1">
        <w:r w:rsidRPr="009C352D">
          <w:rPr>
            <w:rStyle w:val="Hipervnculo"/>
            <w:rFonts w:ascii="Myriad Pro" w:hAnsi="Myriad Pro"/>
            <w:color w:val="auto"/>
            <w:sz w:val="24"/>
            <w:szCs w:val="24"/>
            <w:u w:val="none"/>
            <w:lang w:val="en-US"/>
          </w:rPr>
          <w:t>10.4067/S0718-33992018000100387</w:t>
        </w:r>
      </w:hyperlink>
    </w:p>
    <w:p w14:paraId="0E61BB64"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Duff, R. A. (1990).</w:t>
      </w:r>
      <w:proofErr w:type="gramEnd"/>
      <w:r w:rsidRPr="009C352D">
        <w:rPr>
          <w:rFonts w:ascii="Myriad Pro" w:hAnsi="Myriad Pro"/>
          <w:sz w:val="24"/>
          <w:szCs w:val="24"/>
          <w:lang w:val="en-US"/>
        </w:rPr>
        <w:t xml:space="preserve"> ‘Can I help you?’ </w:t>
      </w:r>
      <w:proofErr w:type="gramStart"/>
      <w:r w:rsidRPr="009C352D">
        <w:rPr>
          <w:rFonts w:ascii="Myriad Pro" w:hAnsi="Myriad Pro"/>
          <w:sz w:val="24"/>
          <w:szCs w:val="24"/>
          <w:lang w:val="en-US"/>
        </w:rPr>
        <w:t>Accessorial liability and the intention to assist.</w:t>
      </w:r>
      <w:proofErr w:type="gramEnd"/>
      <w:r w:rsidRPr="009C352D">
        <w:rPr>
          <w:rFonts w:ascii="Myriad Pro" w:hAnsi="Myriad Pro"/>
          <w:sz w:val="24"/>
          <w:szCs w:val="24"/>
          <w:lang w:val="en-US"/>
        </w:rPr>
        <w:t xml:space="preserve"> </w:t>
      </w:r>
      <w:proofErr w:type="gramStart"/>
      <w:r w:rsidRPr="009C352D">
        <w:rPr>
          <w:rFonts w:ascii="Myriad Pro" w:hAnsi="Myriad Pro"/>
          <w:i/>
          <w:sz w:val="24"/>
          <w:szCs w:val="24"/>
          <w:lang w:val="en-US"/>
        </w:rPr>
        <w:t>L</w:t>
      </w:r>
      <w:r w:rsidRPr="009C352D">
        <w:rPr>
          <w:rFonts w:ascii="Myriad Pro" w:hAnsi="Myriad Pro"/>
          <w:i/>
          <w:sz w:val="24"/>
          <w:szCs w:val="24"/>
          <w:lang w:val="en-US"/>
        </w:rPr>
        <w:t>e</w:t>
      </w:r>
      <w:r w:rsidRPr="009C352D">
        <w:rPr>
          <w:rFonts w:ascii="Myriad Pro" w:hAnsi="Myriad Pro"/>
          <w:i/>
          <w:sz w:val="24"/>
          <w:szCs w:val="24"/>
          <w:lang w:val="en-US"/>
        </w:rPr>
        <w:t>gal studies, 10</w:t>
      </w:r>
      <w:r w:rsidRPr="009C352D">
        <w:rPr>
          <w:rFonts w:ascii="Myriad Pro" w:hAnsi="Myriad Pro"/>
          <w:sz w:val="24"/>
          <w:szCs w:val="24"/>
          <w:lang w:val="en-US"/>
        </w:rPr>
        <w:t>(2), 165-181.</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0" w:history="1">
        <w:r w:rsidRPr="009C352D">
          <w:rPr>
            <w:rStyle w:val="Hipervnculo"/>
            <w:rFonts w:ascii="Myriad Pro" w:eastAsiaTheme="majorEastAsia" w:hAnsi="Myriad Pro" w:cs="Open Sans"/>
            <w:bCs/>
            <w:color w:val="auto"/>
            <w:sz w:val="24"/>
            <w:szCs w:val="24"/>
            <w:u w:val="none"/>
            <w:lang w:val="en-US"/>
          </w:rPr>
          <w:t>10.1111/j.1748-121X.1990.tb00598.x</w:t>
        </w:r>
      </w:hyperlink>
    </w:p>
    <w:p w14:paraId="565E9AE8"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Frisch, W. (1988).</w:t>
      </w:r>
      <w:proofErr w:type="gramEnd"/>
      <w:r w:rsidRPr="009C352D">
        <w:rPr>
          <w:rFonts w:ascii="Myriad Pro" w:hAnsi="Myriad Pro"/>
          <w:sz w:val="24"/>
          <w:szCs w:val="24"/>
          <w:lang w:val="en-US"/>
        </w:rPr>
        <w:t xml:space="preserve"> </w:t>
      </w:r>
      <w:proofErr w:type="gramStart"/>
      <w:r w:rsidRPr="009C352D">
        <w:rPr>
          <w:rFonts w:ascii="Myriad Pro" w:hAnsi="Myriad Pro"/>
          <w:i/>
          <w:sz w:val="24"/>
          <w:szCs w:val="24"/>
          <w:lang w:val="en-US"/>
        </w:rPr>
        <w:t>Tatbestandsmäßiges verhalten und zurechnung des erfolgs</w:t>
      </w:r>
      <w:r w:rsidRPr="009C352D">
        <w:rPr>
          <w:rFonts w:ascii="Myriad Pro" w:hAnsi="Myriad Pro"/>
          <w:sz w:val="24"/>
          <w:szCs w:val="24"/>
          <w:lang w:val="en-US"/>
        </w:rPr>
        <w:t>.</w:t>
      </w:r>
      <w:proofErr w:type="gramEnd"/>
      <w:r w:rsidRPr="009C352D">
        <w:rPr>
          <w:rFonts w:ascii="Myriad Pro" w:hAnsi="Myriad Pro"/>
          <w:sz w:val="24"/>
          <w:szCs w:val="24"/>
          <w:lang w:val="en-US"/>
        </w:rPr>
        <w:t xml:space="preserve"> Heide</w:t>
      </w:r>
      <w:r w:rsidRPr="009C352D">
        <w:rPr>
          <w:rFonts w:ascii="Myriad Pro" w:hAnsi="Myriad Pro"/>
          <w:sz w:val="24"/>
          <w:szCs w:val="24"/>
          <w:lang w:val="en-US"/>
        </w:rPr>
        <w:t>l</w:t>
      </w:r>
      <w:r w:rsidRPr="009C352D">
        <w:rPr>
          <w:rFonts w:ascii="Myriad Pro" w:hAnsi="Myriad Pro"/>
          <w:sz w:val="24"/>
          <w:szCs w:val="24"/>
          <w:lang w:val="en-US"/>
        </w:rPr>
        <w:t>berg: C. F. Müller.</w:t>
      </w:r>
    </w:p>
    <w:p w14:paraId="06699D3D"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Frisch, W. (2002).</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Beihilfe durch neutrale handlungen.</w:t>
      </w:r>
      <w:proofErr w:type="gramEnd"/>
      <w:r w:rsidRPr="009C352D">
        <w:rPr>
          <w:rFonts w:ascii="Myriad Pro" w:hAnsi="Myriad Pro"/>
          <w:sz w:val="24"/>
          <w:szCs w:val="24"/>
          <w:lang w:val="en-US"/>
        </w:rPr>
        <w:t xml:space="preserve"> En C. Prittwitz, M. Baurmann, K. Günther, L. Kuhlen, R. Merkel, C. Nestler, y L. Schulz (Eds.), </w:t>
      </w:r>
      <w:r w:rsidRPr="009C352D">
        <w:rPr>
          <w:rFonts w:ascii="Myriad Pro" w:hAnsi="Myriad Pro"/>
          <w:i/>
          <w:sz w:val="24"/>
          <w:szCs w:val="24"/>
          <w:lang w:val="en-US"/>
        </w:rPr>
        <w:t>Festschrift für Klaus Lüder</w:t>
      </w:r>
      <w:r w:rsidRPr="009C352D">
        <w:rPr>
          <w:rFonts w:ascii="Myriad Pro" w:hAnsi="Myriad Pro"/>
          <w:i/>
          <w:sz w:val="24"/>
          <w:szCs w:val="24"/>
          <w:lang w:val="en-US"/>
        </w:rPr>
        <w:t>s</w:t>
      </w:r>
      <w:r w:rsidRPr="009C352D">
        <w:rPr>
          <w:rFonts w:ascii="Myriad Pro" w:hAnsi="Myriad Pro"/>
          <w:i/>
          <w:sz w:val="24"/>
          <w:szCs w:val="24"/>
          <w:lang w:val="en-US"/>
        </w:rPr>
        <w:t xml:space="preserve">sen: </w:t>
      </w:r>
      <w:r w:rsidRPr="009C352D">
        <w:rPr>
          <w:rFonts w:ascii="Myriad Pro" w:hAnsi="Myriad Pro"/>
          <w:i/>
          <w:color w:val="000000"/>
          <w:sz w:val="24"/>
          <w:szCs w:val="24"/>
          <w:lang w:val="en-US"/>
        </w:rPr>
        <w:t>zum 70. Geburtstag am 2. Mai 2002</w:t>
      </w:r>
      <w:r w:rsidRPr="009C352D">
        <w:rPr>
          <w:rFonts w:ascii="Myriad Pro" w:hAnsi="Myriad Pro"/>
          <w:sz w:val="24"/>
          <w:szCs w:val="24"/>
          <w:lang w:val="en-US"/>
        </w:rPr>
        <w:t xml:space="preserve"> (pp. 539-558). Baden-Baden: Nomos.</w:t>
      </w:r>
    </w:p>
    <w:p w14:paraId="1CC1D04E" w14:textId="77777777" w:rsidR="009C352D" w:rsidRPr="009C352D" w:rsidRDefault="009C352D" w:rsidP="004E104E">
      <w:pPr>
        <w:spacing w:before="180" w:after="180"/>
        <w:jc w:val="both"/>
        <w:rPr>
          <w:rFonts w:ascii="Myriad Pro" w:hAnsi="Myriad Pro"/>
          <w:sz w:val="24"/>
          <w:szCs w:val="24"/>
        </w:rPr>
      </w:pPr>
      <w:r w:rsidRPr="00171A4E">
        <w:rPr>
          <w:rFonts w:ascii="Myriad Pro" w:hAnsi="Myriad Pro"/>
          <w:sz w:val="24"/>
          <w:szCs w:val="24"/>
        </w:rPr>
        <w:t>Garrido Montt</w:t>
      </w:r>
      <w:r w:rsidRPr="00171A4E">
        <w:rPr>
          <w:rStyle w:val="Refdenotaalpie"/>
          <w:rFonts w:ascii="Myriad Pro" w:hAnsi="Myriad Pro"/>
          <w:sz w:val="24"/>
          <w:szCs w:val="24"/>
          <w:vertAlign w:val="baseline"/>
        </w:rPr>
        <w:t>, M.</w:t>
      </w:r>
      <w:r w:rsidRPr="00171A4E">
        <w:rPr>
          <w:rStyle w:val="Refdenotaalpie"/>
          <w:rFonts w:ascii="Myriad Pro" w:hAnsi="Myriad Pro"/>
          <w:sz w:val="24"/>
          <w:szCs w:val="24"/>
        </w:rPr>
        <w:t xml:space="preserve"> </w:t>
      </w:r>
      <w:r w:rsidRPr="00171A4E">
        <w:rPr>
          <w:rFonts w:ascii="Myriad Pro" w:hAnsi="Myriad Pro"/>
          <w:sz w:val="24"/>
          <w:szCs w:val="24"/>
        </w:rPr>
        <w:t>(2017).</w:t>
      </w:r>
      <w:r w:rsidRPr="00171A4E">
        <w:rPr>
          <w:rStyle w:val="Refdenotaalpie"/>
          <w:rFonts w:ascii="Myriad Pro" w:hAnsi="Myriad Pro"/>
          <w:sz w:val="24"/>
          <w:szCs w:val="24"/>
          <w:vertAlign w:val="baseline"/>
        </w:rPr>
        <w:t xml:space="preserve"> </w:t>
      </w:r>
      <w:r w:rsidRPr="00171A4E">
        <w:rPr>
          <w:rStyle w:val="Refdenotaalpie"/>
          <w:rFonts w:ascii="Myriad Pro" w:hAnsi="Myriad Pro"/>
          <w:i/>
          <w:sz w:val="24"/>
          <w:szCs w:val="24"/>
          <w:vertAlign w:val="baseline"/>
        </w:rPr>
        <w:t>Derecho penal</w:t>
      </w:r>
      <w:r w:rsidRPr="00171A4E">
        <w:rPr>
          <w:rFonts w:ascii="Myriad Pro" w:hAnsi="Myriad Pro"/>
          <w:i/>
          <w:sz w:val="24"/>
          <w:szCs w:val="24"/>
        </w:rPr>
        <w:t>:</w:t>
      </w:r>
      <w:r w:rsidRPr="00171A4E">
        <w:rPr>
          <w:rStyle w:val="Refdenotaalpie"/>
          <w:rFonts w:ascii="Myriad Pro" w:hAnsi="Myriad Pro"/>
          <w:i/>
          <w:sz w:val="24"/>
          <w:szCs w:val="24"/>
          <w:vertAlign w:val="baseline"/>
        </w:rPr>
        <w:t xml:space="preserve"> parte general</w:t>
      </w:r>
      <w:r w:rsidRPr="00171A4E">
        <w:rPr>
          <w:rFonts w:ascii="Myriad Pro" w:hAnsi="Myriad Pro"/>
          <w:sz w:val="24"/>
          <w:szCs w:val="24"/>
        </w:rPr>
        <w:t xml:space="preserve"> (Vol. 2).</w:t>
      </w:r>
      <w:r w:rsidRPr="00171A4E">
        <w:rPr>
          <w:rStyle w:val="Refdenotaalpie"/>
          <w:rFonts w:ascii="Myriad Pro" w:hAnsi="Myriad Pro"/>
          <w:sz w:val="24"/>
          <w:szCs w:val="24"/>
        </w:rPr>
        <w:t xml:space="preserve"> </w:t>
      </w:r>
      <w:r w:rsidRPr="009C352D">
        <w:rPr>
          <w:rFonts w:ascii="Myriad Pro" w:hAnsi="Myriad Pro"/>
          <w:sz w:val="24"/>
          <w:szCs w:val="24"/>
        </w:rPr>
        <w:t>Santiago: Jurídica de Chile.</w:t>
      </w:r>
    </w:p>
    <w:p w14:paraId="5260FB14"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 xml:space="preserve">Generaldirektion PTT gegen J., BGE 111 IV 32 (Schweizerisches Bundesgericht 18. Februar 1985). Recuperado de </w:t>
      </w:r>
      <w:hyperlink r:id="rId21" w:history="1">
        <w:r w:rsidRPr="009C352D">
          <w:rPr>
            <w:rStyle w:val="Hipervnculo"/>
            <w:rFonts w:ascii="Myriad Pro" w:hAnsi="Myriad Pro"/>
            <w:color w:val="auto"/>
            <w:sz w:val="24"/>
            <w:szCs w:val="24"/>
            <w:u w:val="none"/>
          </w:rPr>
          <w:t>https://bit.ly/3ujDOD3</w:t>
        </w:r>
      </w:hyperlink>
    </w:p>
    <w:p w14:paraId="6D8D17B0"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lang w:val="en-US"/>
        </w:rPr>
        <w:t xml:space="preserve">Greco, L. (2015). </w:t>
      </w:r>
      <w:proofErr w:type="gramStart"/>
      <w:r w:rsidRPr="009C352D">
        <w:rPr>
          <w:rFonts w:ascii="Myriad Pro" w:hAnsi="Myriad Pro"/>
          <w:sz w:val="24"/>
          <w:szCs w:val="24"/>
          <w:lang w:val="en-US"/>
        </w:rPr>
        <w:t>Strafbarkeit der berufsbedingten bzw.</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neutralen</w:t>
      </w:r>
      <w:proofErr w:type="gramEnd"/>
      <w:r w:rsidRPr="009C352D">
        <w:rPr>
          <w:rFonts w:ascii="Myriad Pro" w:hAnsi="Myriad Pro"/>
          <w:sz w:val="24"/>
          <w:szCs w:val="24"/>
          <w:lang w:val="en-US"/>
        </w:rPr>
        <w:t xml:space="preserve"> beihilfe erst bei hoher wahrscheinlichkeit der haupttat. </w:t>
      </w:r>
      <w:r w:rsidRPr="009C352D">
        <w:rPr>
          <w:rFonts w:ascii="Myriad Pro" w:hAnsi="Myriad Pro"/>
          <w:i/>
          <w:sz w:val="24"/>
          <w:szCs w:val="24"/>
        </w:rPr>
        <w:t>Wistra (Heidelberg),</w:t>
      </w:r>
      <w:r w:rsidRPr="009C352D">
        <w:rPr>
          <w:rFonts w:ascii="Myriad Pro" w:hAnsi="Myriad Pro"/>
          <w:sz w:val="24"/>
          <w:szCs w:val="24"/>
        </w:rPr>
        <w:t xml:space="preserve"> (1), 1-6.</w:t>
      </w:r>
    </w:p>
    <w:p w14:paraId="58D2AA94"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 xml:space="preserve">Grundgesetz für die Bundesrepublik Deutschland, Bundesgesetzblatt Teil III, Bonn, República Federal Alemana, 23 de mayo de 1949. Recuperado de </w:t>
      </w:r>
      <w:hyperlink r:id="rId22" w:history="1">
        <w:r w:rsidRPr="009C352D">
          <w:rPr>
            <w:rStyle w:val="Hipervnculo"/>
            <w:rFonts w:ascii="Myriad Pro" w:hAnsi="Myriad Pro"/>
            <w:color w:val="auto"/>
            <w:sz w:val="24"/>
            <w:szCs w:val="24"/>
            <w:u w:val="none"/>
          </w:rPr>
          <w:t>https://bit.ly/2QIeclT</w:t>
        </w:r>
      </w:hyperlink>
    </w:p>
    <w:p w14:paraId="24E6E255"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lastRenderedPageBreak/>
        <w:t>Guzmán</w:t>
      </w:r>
      <w:r w:rsidRPr="009C352D">
        <w:rPr>
          <w:rFonts w:ascii="Myriad Pro" w:hAnsi="Myriad Pro"/>
          <w:sz w:val="24"/>
          <w:szCs w:val="24"/>
          <w:lang w:val="es-ES"/>
        </w:rPr>
        <w:t xml:space="preserve">, N. (2010). </w:t>
      </w:r>
      <w:r w:rsidRPr="009C352D">
        <w:rPr>
          <w:rFonts w:ascii="Myriad Pro" w:hAnsi="Myriad Pro"/>
          <w:i/>
          <w:sz w:val="24"/>
          <w:szCs w:val="24"/>
          <w:lang w:val="es-ES"/>
        </w:rPr>
        <w:t>Conductas neutrales y participación en el delito.</w:t>
      </w:r>
      <w:r w:rsidRPr="009C352D">
        <w:rPr>
          <w:rFonts w:ascii="Myriad Pro" w:hAnsi="Myriad Pro"/>
          <w:sz w:val="24"/>
          <w:szCs w:val="24"/>
          <w:lang w:val="es-ES"/>
        </w:rPr>
        <w:t xml:space="preserve"> </w:t>
      </w:r>
      <w:r w:rsidRPr="009C352D">
        <w:rPr>
          <w:rFonts w:ascii="Myriad Pro" w:hAnsi="Myriad Pro"/>
          <w:sz w:val="24"/>
          <w:szCs w:val="24"/>
        </w:rPr>
        <w:t>SSRN. Recuperado de https://bit.ly/3gvLIpU</w:t>
      </w:r>
    </w:p>
    <w:p w14:paraId="4885A64D" w14:textId="77777777" w:rsidR="009C352D" w:rsidRPr="009C352D" w:rsidRDefault="009C352D" w:rsidP="004E104E">
      <w:pPr>
        <w:spacing w:before="180" w:after="180"/>
        <w:jc w:val="both"/>
        <w:rPr>
          <w:rFonts w:ascii="Myriad Pro" w:hAnsi="Myriad Pro"/>
          <w:sz w:val="24"/>
          <w:szCs w:val="24"/>
          <w:lang w:val="en-US"/>
        </w:rPr>
      </w:pPr>
      <w:proofErr w:type="gramStart"/>
      <w:r w:rsidRPr="009F33BF">
        <w:rPr>
          <w:rFonts w:ascii="Myriad Pro" w:hAnsi="Myriad Pro"/>
          <w:sz w:val="24"/>
          <w:szCs w:val="24"/>
          <w:lang w:val="en-US"/>
        </w:rPr>
        <w:t>Hassemer, W. (1995a).</w:t>
      </w:r>
      <w:proofErr w:type="gramEnd"/>
      <w:r w:rsidRPr="009F33BF">
        <w:rPr>
          <w:rFonts w:ascii="Myriad Pro" w:hAnsi="Myriad Pro"/>
          <w:sz w:val="24"/>
          <w:szCs w:val="24"/>
          <w:lang w:val="en-US"/>
        </w:rPr>
        <w:t xml:space="preserve"> </w:t>
      </w:r>
      <w:r w:rsidRPr="009C352D">
        <w:rPr>
          <w:rFonts w:ascii="Myriad Pro" w:hAnsi="Myriad Pro"/>
          <w:sz w:val="24"/>
          <w:szCs w:val="24"/>
          <w:lang w:val="en-US"/>
        </w:rPr>
        <w:t xml:space="preserve">Professionelle Adäquanz. </w:t>
      </w:r>
      <w:proofErr w:type="gramStart"/>
      <w:r w:rsidRPr="009C352D">
        <w:rPr>
          <w:rFonts w:ascii="Myriad Pro" w:hAnsi="Myriad Pro"/>
          <w:sz w:val="24"/>
          <w:szCs w:val="24"/>
          <w:lang w:val="en-US"/>
        </w:rPr>
        <w:t>Bankentypisches Verhalten und Be</w:t>
      </w:r>
      <w:r w:rsidRPr="009C352D">
        <w:rPr>
          <w:rFonts w:ascii="Myriad Pro" w:hAnsi="Myriad Pro"/>
          <w:sz w:val="24"/>
          <w:szCs w:val="24"/>
          <w:lang w:val="en-US"/>
        </w:rPr>
        <w:t>i</w:t>
      </w:r>
      <w:r w:rsidRPr="009C352D">
        <w:rPr>
          <w:rFonts w:ascii="Myriad Pro" w:hAnsi="Myriad Pro"/>
          <w:sz w:val="24"/>
          <w:szCs w:val="24"/>
          <w:lang w:val="en-US"/>
        </w:rPr>
        <w:t>hilfe zur Steuerhinterziehung.</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Teil 1.</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Wistra (Heidelberg)</w:t>
      </w:r>
      <w:r w:rsidRPr="009C352D">
        <w:rPr>
          <w:rFonts w:ascii="Myriad Pro" w:hAnsi="Myriad Pro"/>
          <w:sz w:val="24"/>
          <w:szCs w:val="24"/>
          <w:lang w:val="en-US"/>
        </w:rPr>
        <w:t>, (2), 41-46.</w:t>
      </w:r>
    </w:p>
    <w:p w14:paraId="4A49C67E"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Hassemer, W. (1995b).</w:t>
      </w:r>
      <w:proofErr w:type="gramEnd"/>
      <w:r w:rsidRPr="009C352D">
        <w:rPr>
          <w:rFonts w:ascii="Myriad Pro" w:hAnsi="Myriad Pro"/>
          <w:sz w:val="24"/>
          <w:szCs w:val="24"/>
          <w:lang w:val="en-US"/>
        </w:rPr>
        <w:t xml:space="preserve"> Professionelle Adäquanz. </w:t>
      </w:r>
      <w:proofErr w:type="gramStart"/>
      <w:r w:rsidRPr="009C352D">
        <w:rPr>
          <w:rFonts w:ascii="Myriad Pro" w:hAnsi="Myriad Pro"/>
          <w:sz w:val="24"/>
          <w:szCs w:val="24"/>
          <w:lang w:val="en-US"/>
        </w:rPr>
        <w:t>Bankentypisches Verhalten und Be</w:t>
      </w:r>
      <w:r w:rsidRPr="009C352D">
        <w:rPr>
          <w:rFonts w:ascii="Myriad Pro" w:hAnsi="Myriad Pro"/>
          <w:sz w:val="24"/>
          <w:szCs w:val="24"/>
          <w:lang w:val="en-US"/>
        </w:rPr>
        <w:t>i</w:t>
      </w:r>
      <w:r w:rsidRPr="009C352D">
        <w:rPr>
          <w:rFonts w:ascii="Myriad Pro" w:hAnsi="Myriad Pro"/>
          <w:sz w:val="24"/>
          <w:szCs w:val="24"/>
          <w:lang w:val="en-US"/>
        </w:rPr>
        <w:t>hilfe zur Steuerhinterziehung.</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Teil 2.</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Wistra (Heidelberg)</w:t>
      </w:r>
      <w:r w:rsidRPr="009C352D">
        <w:rPr>
          <w:rFonts w:ascii="Myriad Pro" w:hAnsi="Myriad Pro"/>
          <w:sz w:val="24"/>
          <w:szCs w:val="24"/>
          <w:lang w:val="en-US"/>
        </w:rPr>
        <w:t>, (3), 81-87.</w:t>
      </w:r>
    </w:p>
    <w:p w14:paraId="0B50A68B"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Hruschka, J. (1984). </w:t>
      </w:r>
      <w:proofErr w:type="gramStart"/>
      <w:r w:rsidRPr="009C352D">
        <w:rPr>
          <w:rFonts w:ascii="Myriad Pro" w:hAnsi="Myriad Pro"/>
          <w:sz w:val="24"/>
          <w:szCs w:val="24"/>
          <w:lang w:val="en-US"/>
        </w:rPr>
        <w:t xml:space="preserve">Anmerkung zu OLG Düsseldorf, Beschluss vom 06.09.1983 – 5 Ss (OWi) 307/83-275/83 I. </w:t>
      </w:r>
      <w:r w:rsidRPr="009C352D">
        <w:rPr>
          <w:rFonts w:ascii="Myriad Pro" w:hAnsi="Myriad Pro"/>
          <w:i/>
          <w:sz w:val="24"/>
          <w:szCs w:val="24"/>
          <w:lang w:val="en-US"/>
        </w:rPr>
        <w:t>Juristische Rundschau</w:t>
      </w:r>
      <w:r w:rsidRPr="009C352D">
        <w:rPr>
          <w:rFonts w:ascii="Myriad Pro" w:hAnsi="Myriad Pro"/>
          <w:sz w:val="24"/>
          <w:szCs w:val="24"/>
          <w:lang w:val="en-US"/>
        </w:rPr>
        <w:t>, (6), 257-263.</w:t>
      </w:r>
      <w:proofErr w:type="gramEnd"/>
    </w:p>
    <w:p w14:paraId="3011E303" w14:textId="77777777" w:rsidR="009C352D" w:rsidRPr="009C352D" w:rsidRDefault="009C352D" w:rsidP="004E104E">
      <w:pPr>
        <w:spacing w:before="180" w:after="180"/>
        <w:jc w:val="both"/>
        <w:rPr>
          <w:rFonts w:ascii="Myriad Pro" w:hAnsi="Myriad Pro"/>
          <w:bCs/>
          <w:sz w:val="24"/>
          <w:szCs w:val="24"/>
          <w:lang w:val="en-US"/>
        </w:rPr>
      </w:pPr>
      <w:r w:rsidRPr="009C352D">
        <w:rPr>
          <w:rFonts w:ascii="Myriad Pro" w:hAnsi="Myriad Pro"/>
          <w:sz w:val="24"/>
          <w:szCs w:val="24"/>
          <w:lang w:val="en-US"/>
        </w:rPr>
        <w:t xml:space="preserve">Hurd, H. (2001). </w:t>
      </w:r>
      <w:r w:rsidRPr="009C352D">
        <w:rPr>
          <w:rFonts w:ascii="Myriad Pro" w:hAnsi="Myriad Pro"/>
          <w:bCs/>
          <w:sz w:val="24"/>
          <w:szCs w:val="24"/>
          <w:lang w:val="en-US"/>
        </w:rPr>
        <w:t>Is it wrong to do right when others do wrong</w:t>
      </w:r>
      <w:proofErr w:type="gramStart"/>
      <w:r w:rsidRPr="009C352D">
        <w:rPr>
          <w:rFonts w:ascii="Myriad Pro" w:hAnsi="Myriad Pro"/>
          <w:bCs/>
          <w:sz w:val="24"/>
          <w:szCs w:val="24"/>
          <w:lang w:val="en-US"/>
        </w:rPr>
        <w:t>?:</w:t>
      </w:r>
      <w:proofErr w:type="gramEnd"/>
      <w:r w:rsidRPr="009C352D">
        <w:rPr>
          <w:rFonts w:ascii="Myriad Pro" w:hAnsi="Myriad Pro"/>
          <w:bCs/>
          <w:sz w:val="24"/>
          <w:szCs w:val="24"/>
          <w:lang w:val="en-US"/>
        </w:rPr>
        <w:t xml:space="preserve"> a critique of American tort law. </w:t>
      </w:r>
      <w:r w:rsidRPr="009C352D">
        <w:rPr>
          <w:rFonts w:ascii="Myriad Pro" w:hAnsi="Myriad Pro"/>
          <w:bCs/>
          <w:i/>
          <w:iCs/>
          <w:sz w:val="24"/>
          <w:szCs w:val="24"/>
          <w:lang w:val="en-US"/>
        </w:rPr>
        <w:t>Legal Theory, 7</w:t>
      </w:r>
      <w:r w:rsidRPr="009C352D">
        <w:rPr>
          <w:rFonts w:ascii="Myriad Pro" w:hAnsi="Myriad Pro"/>
          <w:bCs/>
          <w:iCs/>
          <w:sz w:val="24"/>
          <w:szCs w:val="24"/>
          <w:lang w:val="en-US"/>
        </w:rPr>
        <w:t xml:space="preserve">(3), </w:t>
      </w:r>
      <w:r w:rsidRPr="009C352D">
        <w:rPr>
          <w:rFonts w:ascii="Myriad Pro" w:hAnsi="Myriad Pro"/>
          <w:bCs/>
          <w:sz w:val="24"/>
          <w:szCs w:val="24"/>
          <w:lang w:val="en-US"/>
        </w:rPr>
        <w:t xml:space="preserve">307–340. </w:t>
      </w:r>
      <w:proofErr w:type="gramStart"/>
      <w:r w:rsidRPr="009C352D">
        <w:rPr>
          <w:rFonts w:ascii="Myriad Pro" w:hAnsi="Myriad Pro"/>
          <w:bCs/>
          <w:sz w:val="24"/>
          <w:szCs w:val="24"/>
          <w:lang w:val="en-US"/>
        </w:rPr>
        <w:t>doi</w:t>
      </w:r>
      <w:proofErr w:type="gramEnd"/>
      <w:r w:rsidRPr="009C352D">
        <w:rPr>
          <w:rFonts w:ascii="Myriad Pro" w:hAnsi="Myriad Pro"/>
          <w:bCs/>
          <w:sz w:val="24"/>
          <w:szCs w:val="24"/>
          <w:lang w:val="en-US"/>
        </w:rPr>
        <w:t xml:space="preserve">: </w:t>
      </w:r>
      <w:hyperlink r:id="rId23" w:tgtFrame="_blank" w:history="1">
        <w:r w:rsidRPr="009C352D">
          <w:rPr>
            <w:rStyle w:val="text"/>
            <w:rFonts w:ascii="Myriad Pro" w:eastAsiaTheme="majorEastAsia" w:hAnsi="Myriad Pro" w:cs="Arial"/>
            <w:sz w:val="24"/>
            <w:szCs w:val="24"/>
            <w:bdr w:val="none" w:sz="0" w:space="0" w:color="auto" w:frame="1"/>
            <w:lang w:val="en-US"/>
          </w:rPr>
          <w:t>10.1017/S1352325201073050</w:t>
        </w:r>
      </w:hyperlink>
    </w:p>
    <w:p w14:paraId="393EACA0"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Jakobs, G. (1977). </w:t>
      </w:r>
      <w:proofErr w:type="gramStart"/>
      <w:r w:rsidRPr="009C352D">
        <w:rPr>
          <w:rFonts w:ascii="Myriad Pro" w:hAnsi="Myriad Pro"/>
          <w:sz w:val="24"/>
          <w:szCs w:val="24"/>
          <w:lang w:val="en-US"/>
        </w:rPr>
        <w:t>Regreßverbot beim erfolgsdelikt.</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Zugleich eine untersuchung zum grund der strafrechtlichen haftung für begehung.</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Zeitschrift für die gesamte strafrechtswissenschaft, 89</w:t>
      </w:r>
      <w:r w:rsidRPr="009C352D">
        <w:rPr>
          <w:rFonts w:ascii="Myriad Pro" w:hAnsi="Myriad Pro"/>
          <w:sz w:val="24"/>
          <w:szCs w:val="24"/>
          <w:lang w:val="en-US"/>
        </w:rPr>
        <w:t xml:space="preserve">(1), 1-35.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4" w:tgtFrame="_blank" w:history="1">
        <w:r w:rsidRPr="009C352D">
          <w:rPr>
            <w:rStyle w:val="Hipervnculo"/>
            <w:rFonts w:ascii="Myriad Pro" w:eastAsiaTheme="majorEastAsia" w:hAnsi="Myriad Pro"/>
            <w:color w:val="auto"/>
            <w:sz w:val="24"/>
            <w:szCs w:val="24"/>
            <w:u w:val="none"/>
            <w:lang w:val="en-US"/>
          </w:rPr>
          <w:t>10.1515/zstw.1977.89.1.1</w:t>
        </w:r>
      </w:hyperlink>
    </w:p>
    <w:p w14:paraId="34715B5B"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Jakobs, G. (1993). Strafrecht, allgemeiner teil: die grundlagen und die zurechnung</w:t>
      </w:r>
      <w:r w:rsidRPr="009C352D">
        <w:rPr>
          <w:rFonts w:ascii="Myriad Pro" w:hAnsi="Myriad Pro"/>
          <w:sz w:val="24"/>
          <w:szCs w:val="24"/>
          <w:lang w:val="en-US"/>
        </w:rPr>
        <w:t>s</w:t>
      </w:r>
      <w:r w:rsidRPr="009C352D">
        <w:rPr>
          <w:rFonts w:ascii="Myriad Pro" w:hAnsi="Myriad Pro"/>
          <w:sz w:val="24"/>
          <w:szCs w:val="24"/>
          <w:lang w:val="en-US"/>
        </w:rPr>
        <w:t xml:space="preserve">lehre. Berlin: De Gruyter.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5" w:tgtFrame="_blank" w:history="1">
        <w:r w:rsidRPr="009C352D">
          <w:rPr>
            <w:rStyle w:val="Hipervnculo"/>
            <w:rFonts w:ascii="Myriad Pro" w:eastAsiaTheme="majorEastAsia" w:hAnsi="Myriad Pro"/>
            <w:color w:val="auto"/>
            <w:sz w:val="24"/>
            <w:szCs w:val="24"/>
            <w:u w:val="none"/>
            <w:lang w:val="en-US"/>
          </w:rPr>
          <w:t>10.1515/9783110906424</w:t>
        </w:r>
      </w:hyperlink>
    </w:p>
    <w:p w14:paraId="7BCA74BE"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Jakobs, G. (1996). Akzessorietät: Zu den voraussetzungen gemeinsamer organisation. </w:t>
      </w:r>
      <w:proofErr w:type="gramStart"/>
      <w:r w:rsidRPr="009C352D">
        <w:rPr>
          <w:rFonts w:ascii="Myriad Pro" w:hAnsi="Myriad Pro"/>
          <w:i/>
          <w:sz w:val="24"/>
          <w:szCs w:val="24"/>
          <w:lang w:val="en-US"/>
        </w:rPr>
        <w:t>Goltdammer’s archiv für strafrecht</w:t>
      </w:r>
      <w:r w:rsidRPr="009C352D">
        <w:rPr>
          <w:rFonts w:ascii="Myriad Pro" w:hAnsi="Myriad Pro"/>
          <w:sz w:val="24"/>
          <w:szCs w:val="24"/>
          <w:lang w:val="en-US"/>
        </w:rPr>
        <w:t>, 1996, 253-268.</w:t>
      </w:r>
      <w:proofErr w:type="gramEnd"/>
    </w:p>
    <w:p w14:paraId="20ED9031"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Jakobs, G. (2003). </w:t>
      </w:r>
      <w:proofErr w:type="gramStart"/>
      <w:r w:rsidRPr="009C352D">
        <w:rPr>
          <w:rFonts w:ascii="Myriad Pro" w:hAnsi="Myriad Pro"/>
          <w:sz w:val="24"/>
          <w:szCs w:val="24"/>
          <w:lang w:val="en-US"/>
        </w:rPr>
        <w:t>Beteiligung.</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 xml:space="preserve">En D. Dölling (Ed.), </w:t>
      </w:r>
      <w:r w:rsidRPr="009C352D">
        <w:rPr>
          <w:rFonts w:ascii="Myriad Pro" w:hAnsi="Myriad Pro"/>
          <w:i/>
          <w:sz w:val="24"/>
          <w:szCs w:val="24"/>
          <w:lang w:val="en-US"/>
        </w:rPr>
        <w:t>Jus humanum.</w:t>
      </w:r>
      <w:proofErr w:type="gramEnd"/>
      <w:r w:rsidRPr="009C352D">
        <w:rPr>
          <w:rFonts w:ascii="Myriad Pro" w:hAnsi="Myriad Pro"/>
          <w:i/>
          <w:sz w:val="24"/>
          <w:szCs w:val="24"/>
          <w:lang w:val="en-US"/>
        </w:rPr>
        <w:t xml:space="preserve"> Grundlagen des rechts und strafrecht festschrift fur Ernst-Joachim Lampe zum 70. Geburtstag</w:t>
      </w:r>
      <w:r w:rsidRPr="009C352D">
        <w:rPr>
          <w:rFonts w:ascii="Myriad Pro" w:hAnsi="Myriad Pro"/>
          <w:sz w:val="24"/>
          <w:szCs w:val="24"/>
          <w:lang w:val="en-US"/>
        </w:rPr>
        <w:t xml:space="preserve"> (pp. 561-575). Berlin: Duncker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6" w:history="1">
        <w:r w:rsidRPr="009C352D">
          <w:rPr>
            <w:rStyle w:val="Hipervnculo"/>
            <w:rFonts w:ascii="Myriad Pro" w:hAnsi="Myriad Pro"/>
            <w:color w:val="auto"/>
            <w:sz w:val="24"/>
            <w:szCs w:val="24"/>
            <w:u w:val="none"/>
            <w:lang w:val="en-US"/>
          </w:rPr>
          <w:t>10.3790/978-3-428-51390-1</w:t>
        </w:r>
      </w:hyperlink>
    </w:p>
    <w:p w14:paraId="54C16252"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Jakobs, G. (2012). </w:t>
      </w:r>
      <w:proofErr w:type="gramStart"/>
      <w:r w:rsidRPr="009C352D">
        <w:rPr>
          <w:rFonts w:ascii="Myriad Pro" w:hAnsi="Myriad Pro"/>
          <w:i/>
          <w:sz w:val="24"/>
          <w:szCs w:val="24"/>
          <w:lang w:val="en-US"/>
        </w:rPr>
        <w:t>System der Strafrechtlichen zurechnung</w:t>
      </w:r>
      <w:r w:rsidRPr="009C352D">
        <w:rPr>
          <w:rFonts w:ascii="Myriad Pro" w:hAnsi="Myriad Pro"/>
          <w:sz w:val="24"/>
          <w:szCs w:val="24"/>
          <w:lang w:val="en-US"/>
        </w:rPr>
        <w:t>.</w:t>
      </w:r>
      <w:proofErr w:type="gramEnd"/>
      <w:r w:rsidRPr="009C352D">
        <w:rPr>
          <w:rFonts w:ascii="Myriad Pro" w:hAnsi="Myriad Pro"/>
          <w:sz w:val="24"/>
          <w:szCs w:val="24"/>
          <w:lang w:val="en-US"/>
        </w:rPr>
        <w:t xml:space="preserve"> Frankfurt </w:t>
      </w:r>
      <w:proofErr w:type="gramStart"/>
      <w:r w:rsidRPr="009C352D">
        <w:rPr>
          <w:rFonts w:ascii="Myriad Pro" w:hAnsi="Myriad Pro"/>
          <w:sz w:val="24"/>
          <w:szCs w:val="24"/>
          <w:lang w:val="en-US"/>
        </w:rPr>
        <w:t>am</w:t>
      </w:r>
      <w:proofErr w:type="gramEnd"/>
      <w:r w:rsidRPr="009C352D">
        <w:rPr>
          <w:rFonts w:ascii="Myriad Pro" w:hAnsi="Myriad Pro"/>
          <w:sz w:val="24"/>
          <w:szCs w:val="24"/>
          <w:lang w:val="en-US"/>
        </w:rPr>
        <w:t xml:space="preserve"> Main: Vittorio Klostermann.</w:t>
      </w:r>
    </w:p>
    <w:p w14:paraId="19E5B850"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Jakobs, G. (2014). </w:t>
      </w:r>
      <w:proofErr w:type="gramStart"/>
      <w:r w:rsidRPr="009C352D">
        <w:rPr>
          <w:rFonts w:ascii="Myriad Pro" w:hAnsi="Myriad Pro"/>
          <w:i/>
          <w:sz w:val="24"/>
          <w:szCs w:val="24"/>
          <w:lang w:val="en-US"/>
        </w:rPr>
        <w:t>Theorie der beteiligung</w:t>
      </w:r>
      <w:r w:rsidRPr="009C352D">
        <w:rPr>
          <w:rFonts w:ascii="Myriad Pro" w:hAnsi="Myriad Pro"/>
          <w:sz w:val="24"/>
          <w:szCs w:val="24"/>
          <w:lang w:val="en-US"/>
        </w:rPr>
        <w:t>.</w:t>
      </w:r>
      <w:proofErr w:type="gramEnd"/>
      <w:r w:rsidRPr="009C352D">
        <w:rPr>
          <w:rFonts w:ascii="Myriad Pro" w:hAnsi="Myriad Pro"/>
          <w:sz w:val="24"/>
          <w:szCs w:val="24"/>
          <w:lang w:val="en-US"/>
        </w:rPr>
        <w:t xml:space="preserve"> Tübingen: Mohr Siebeck. </w:t>
      </w:r>
    </w:p>
    <w:p w14:paraId="1CDC8458" w14:textId="77777777" w:rsidR="009C352D" w:rsidRPr="009C352D" w:rsidRDefault="009C352D" w:rsidP="004E104E">
      <w:pPr>
        <w:spacing w:before="180" w:after="180"/>
        <w:jc w:val="both"/>
        <w:rPr>
          <w:rFonts w:ascii="Myriad Pro" w:hAnsi="Myriad Pro" w:cstheme="minorHAnsi"/>
          <w:sz w:val="24"/>
          <w:szCs w:val="24"/>
          <w:lang w:val="de-DE"/>
        </w:rPr>
      </w:pPr>
      <w:proofErr w:type="gramStart"/>
      <w:r w:rsidRPr="009C352D">
        <w:rPr>
          <w:rFonts w:ascii="Myriad Pro" w:hAnsi="Myriad Pro"/>
          <w:sz w:val="24"/>
          <w:szCs w:val="24"/>
          <w:lang w:val="en-US"/>
        </w:rPr>
        <w:t>Joecks,</w:t>
      </w:r>
      <w:r w:rsidRPr="009C352D">
        <w:rPr>
          <w:rFonts w:ascii="Myriad Pro" w:hAnsi="Myriad Pro"/>
          <w:smallCaps/>
          <w:sz w:val="24"/>
          <w:szCs w:val="24"/>
          <w:lang w:val="en-US"/>
        </w:rPr>
        <w:t xml:space="preserve"> </w:t>
      </w:r>
      <w:r w:rsidRPr="009C352D">
        <w:rPr>
          <w:rFonts w:ascii="Myriad Pro" w:hAnsi="Myriad Pro"/>
          <w:sz w:val="24"/>
          <w:szCs w:val="24"/>
          <w:lang w:val="en-US"/>
        </w:rPr>
        <w:t>W.</w:t>
      </w:r>
      <w:r w:rsidRPr="009C352D">
        <w:rPr>
          <w:rFonts w:ascii="Myriad Pro" w:hAnsi="Myriad Pro"/>
          <w:smallCaps/>
          <w:sz w:val="24"/>
          <w:szCs w:val="24"/>
          <w:lang w:val="en-US"/>
        </w:rPr>
        <w:t xml:space="preserve"> (2017).</w:t>
      </w:r>
      <w:proofErr w:type="gramEnd"/>
      <w:r w:rsidRPr="009C352D">
        <w:rPr>
          <w:rFonts w:ascii="Myriad Pro" w:hAnsi="Myriad Pro"/>
          <w:smallCaps/>
          <w:sz w:val="24"/>
          <w:szCs w:val="24"/>
          <w:lang w:val="en-US"/>
        </w:rPr>
        <w:t xml:space="preserve"> § 27 </w:t>
      </w:r>
      <w:r w:rsidRPr="009C352D">
        <w:rPr>
          <w:rFonts w:ascii="Myriad Pro" w:hAnsi="Myriad Pro"/>
          <w:sz w:val="24"/>
          <w:szCs w:val="24"/>
          <w:lang w:val="en-US"/>
        </w:rPr>
        <w:t>Beihilf. En</w:t>
      </w:r>
      <w:r w:rsidRPr="009C352D">
        <w:rPr>
          <w:rFonts w:ascii="Myriad Pro" w:hAnsi="Myriad Pro" w:cstheme="minorHAnsi"/>
          <w:sz w:val="24"/>
          <w:szCs w:val="24"/>
          <w:lang w:val="de-DE"/>
        </w:rPr>
        <w:t xml:space="preserve"> B. Von Heintschel-Heinegg (Ed.), </w:t>
      </w:r>
      <w:r w:rsidRPr="009C352D">
        <w:rPr>
          <w:rFonts w:ascii="Myriad Pro" w:hAnsi="Myriad Pro" w:cstheme="minorHAnsi"/>
          <w:i/>
          <w:sz w:val="24"/>
          <w:szCs w:val="24"/>
          <w:lang w:val="de-DE"/>
        </w:rPr>
        <w:t>Münchener kommentar zum Strafgesetzbuch: §§ 1-37</w:t>
      </w:r>
      <w:r w:rsidRPr="009C352D">
        <w:rPr>
          <w:rFonts w:ascii="Myriad Pro" w:hAnsi="Myriad Pro" w:cstheme="minorHAnsi"/>
          <w:sz w:val="24"/>
          <w:szCs w:val="24"/>
          <w:lang w:val="de-DE"/>
        </w:rPr>
        <w:t xml:space="preserve"> (3a ed., Vol. 1, pp.1343-1376). München: C. H. Becks.</w:t>
      </w:r>
    </w:p>
    <w:p w14:paraId="52CDEF0C"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Kindhäuser, U. (1982). </w:t>
      </w:r>
      <w:proofErr w:type="gramStart"/>
      <w:r w:rsidRPr="009C352D">
        <w:rPr>
          <w:rFonts w:ascii="Myriad Pro" w:hAnsi="Myriad Pro"/>
          <w:sz w:val="24"/>
          <w:szCs w:val="24"/>
          <w:lang w:val="en-US"/>
        </w:rPr>
        <w:t xml:space="preserve">Kausalanalyse und Handlungszuschreibung, </w:t>
      </w:r>
      <w:r w:rsidRPr="009C352D">
        <w:rPr>
          <w:rFonts w:ascii="Myriad Pro" w:hAnsi="Myriad Pro"/>
          <w:i/>
          <w:sz w:val="24"/>
          <w:szCs w:val="24"/>
          <w:lang w:val="en-US"/>
        </w:rPr>
        <w:t>Goltdammer's A</w:t>
      </w:r>
      <w:r w:rsidRPr="009C352D">
        <w:rPr>
          <w:rFonts w:ascii="Myriad Pro" w:hAnsi="Myriad Pro"/>
          <w:i/>
          <w:sz w:val="24"/>
          <w:szCs w:val="24"/>
          <w:lang w:val="en-US"/>
        </w:rPr>
        <w:t>r</w:t>
      </w:r>
      <w:r w:rsidRPr="009C352D">
        <w:rPr>
          <w:rFonts w:ascii="Myriad Pro" w:hAnsi="Myriad Pro"/>
          <w:i/>
          <w:sz w:val="24"/>
          <w:szCs w:val="24"/>
          <w:lang w:val="en-US"/>
        </w:rPr>
        <w:t>chiv für Strafrecht,</w:t>
      </w:r>
      <w:r w:rsidRPr="009C352D">
        <w:rPr>
          <w:rFonts w:ascii="Myriad Pro" w:hAnsi="Myriad Pro"/>
          <w:sz w:val="24"/>
          <w:szCs w:val="24"/>
          <w:lang w:val="en-US"/>
        </w:rPr>
        <w:t xml:space="preserve"> 1982, 477-498.</w:t>
      </w:r>
      <w:proofErr w:type="gramEnd"/>
    </w:p>
    <w:p w14:paraId="41587959" w14:textId="77777777" w:rsidR="009C352D" w:rsidRPr="009C352D" w:rsidRDefault="009C352D" w:rsidP="004E104E">
      <w:pPr>
        <w:spacing w:before="180" w:after="180"/>
        <w:jc w:val="both"/>
        <w:rPr>
          <w:rFonts w:ascii="Myriad Pro" w:hAnsi="Myriad Pro" w:cstheme="minorHAnsi"/>
          <w:sz w:val="24"/>
          <w:szCs w:val="24"/>
          <w:lang w:val="de-DE"/>
        </w:rPr>
      </w:pPr>
      <w:r w:rsidRPr="009C352D">
        <w:rPr>
          <w:rFonts w:ascii="Myriad Pro" w:hAnsi="Myriad Pro" w:cstheme="minorHAnsi"/>
          <w:sz w:val="24"/>
          <w:szCs w:val="24"/>
          <w:lang w:val="de-DE"/>
        </w:rPr>
        <w:t xml:space="preserve">Kindhäuser, U. (1989). </w:t>
      </w:r>
      <w:r w:rsidRPr="009C352D">
        <w:rPr>
          <w:rFonts w:ascii="Myriad Pro" w:hAnsi="Myriad Pro" w:cstheme="minorHAnsi"/>
          <w:i/>
          <w:sz w:val="24"/>
          <w:szCs w:val="24"/>
          <w:lang w:val="de-DE"/>
        </w:rPr>
        <w:t>Gefa</w:t>
      </w:r>
      <w:r w:rsidRPr="009C352D">
        <w:rPr>
          <w:rFonts w:ascii="Arial" w:hAnsi="Arial" w:cs="Arial"/>
          <w:i/>
          <w:sz w:val="24"/>
          <w:szCs w:val="24"/>
          <w:lang w:val="de-DE"/>
        </w:rPr>
        <w:t>̈</w:t>
      </w:r>
      <w:r w:rsidRPr="009C352D">
        <w:rPr>
          <w:rFonts w:ascii="Myriad Pro" w:hAnsi="Myriad Pro" w:cstheme="minorHAnsi"/>
          <w:i/>
          <w:sz w:val="24"/>
          <w:szCs w:val="24"/>
          <w:lang w:val="de-DE"/>
        </w:rPr>
        <w:t>hrdung als straftat: rechtstheoretische untersuchungen zur dogmatik der abstrakten und konkreten gefa</w:t>
      </w:r>
      <w:r w:rsidRPr="009C352D">
        <w:rPr>
          <w:rFonts w:ascii="Arial" w:hAnsi="Arial" w:cs="Arial"/>
          <w:i/>
          <w:sz w:val="24"/>
          <w:szCs w:val="24"/>
          <w:lang w:val="de-DE"/>
        </w:rPr>
        <w:t>̈</w:t>
      </w:r>
      <w:r w:rsidRPr="009C352D">
        <w:rPr>
          <w:rFonts w:ascii="Myriad Pro" w:hAnsi="Myriad Pro" w:cstheme="minorHAnsi"/>
          <w:i/>
          <w:sz w:val="24"/>
          <w:szCs w:val="24"/>
          <w:lang w:val="de-DE"/>
        </w:rPr>
        <w:t>hrdungsdelikte</w:t>
      </w:r>
      <w:r w:rsidRPr="009C352D">
        <w:rPr>
          <w:rFonts w:ascii="Myriad Pro" w:hAnsi="Myriad Pro" w:cstheme="minorHAnsi"/>
          <w:sz w:val="24"/>
          <w:szCs w:val="24"/>
          <w:lang w:val="de-DE"/>
        </w:rPr>
        <w:t>. Frankfurt am Main: V. Klostermann.</w:t>
      </w:r>
    </w:p>
    <w:p w14:paraId="7A342AF0" w14:textId="77777777" w:rsidR="009C352D" w:rsidRPr="009C352D" w:rsidRDefault="009C352D" w:rsidP="004E104E">
      <w:pPr>
        <w:spacing w:before="180" w:after="180"/>
        <w:jc w:val="both"/>
        <w:rPr>
          <w:rFonts w:ascii="Myriad Pro" w:hAnsi="Myriad Pro"/>
          <w:sz w:val="24"/>
          <w:szCs w:val="24"/>
          <w:lang w:val="de-DE"/>
        </w:rPr>
      </w:pPr>
      <w:r w:rsidRPr="009C352D">
        <w:rPr>
          <w:rFonts w:ascii="Myriad Pro" w:hAnsi="Myriad Pro"/>
          <w:sz w:val="24"/>
          <w:szCs w:val="24"/>
          <w:lang w:val="de-DE"/>
        </w:rPr>
        <w:t xml:space="preserve">Kindhäuser, U. (1997). </w:t>
      </w:r>
      <w:r w:rsidRPr="009C352D">
        <w:rPr>
          <w:rFonts w:ascii="Myriad Pro" w:hAnsi="Myriad Pro"/>
          <w:bCs/>
          <w:sz w:val="24"/>
          <w:szCs w:val="24"/>
          <w:lang w:val="de-DE"/>
        </w:rPr>
        <w:t xml:space="preserve">BGH, 18.04.1996 - 1 Str 14/96: Bestimmtheit des Gehilfenvorsatzes. </w:t>
      </w:r>
      <w:r w:rsidRPr="009C352D">
        <w:rPr>
          <w:rFonts w:ascii="Myriad Pro" w:hAnsi="Myriad Pro"/>
          <w:bCs/>
          <w:i/>
          <w:sz w:val="24"/>
          <w:szCs w:val="24"/>
          <w:lang w:val="de-DE"/>
        </w:rPr>
        <w:t>Neue zeitschrift für strafrecht, 17</w:t>
      </w:r>
      <w:r w:rsidRPr="009C352D">
        <w:rPr>
          <w:rFonts w:ascii="Myriad Pro" w:hAnsi="Myriad Pro"/>
          <w:bCs/>
          <w:sz w:val="24"/>
          <w:szCs w:val="24"/>
          <w:lang w:val="de-DE"/>
        </w:rPr>
        <w:t>(6), 272 -275</w:t>
      </w:r>
      <w:r w:rsidRPr="009C352D">
        <w:rPr>
          <w:rFonts w:ascii="Myriad Pro" w:hAnsi="Myriad Pro"/>
          <w:sz w:val="24"/>
          <w:szCs w:val="24"/>
          <w:lang w:val="de-DE"/>
        </w:rPr>
        <w:t>.</w:t>
      </w:r>
    </w:p>
    <w:p w14:paraId="3E6030B3" w14:textId="77777777" w:rsidR="009C352D" w:rsidRPr="009C352D" w:rsidRDefault="009C352D" w:rsidP="004E104E">
      <w:pPr>
        <w:spacing w:before="180" w:after="180"/>
        <w:jc w:val="both"/>
        <w:rPr>
          <w:rFonts w:ascii="Myriad Pro" w:hAnsi="Myriad Pro"/>
          <w:sz w:val="24"/>
          <w:szCs w:val="24"/>
          <w:lang w:val="de-DE"/>
        </w:rPr>
      </w:pPr>
      <w:r w:rsidRPr="009C352D">
        <w:rPr>
          <w:rFonts w:ascii="Myriad Pro" w:hAnsi="Myriad Pro"/>
          <w:sz w:val="24"/>
          <w:szCs w:val="24"/>
          <w:lang w:val="de-DE"/>
        </w:rPr>
        <w:lastRenderedPageBreak/>
        <w:t xml:space="preserve">Kindhäuser, U. (2007a). Zum Begriff der Beihilfe. En G. Dannecker, W, Langer, O. Ranft, R.  Schimtz y J. Brammsen (Eds.), </w:t>
      </w:r>
      <w:r w:rsidRPr="009C352D">
        <w:rPr>
          <w:rFonts w:ascii="Myriad Pro" w:hAnsi="Myriad Pro"/>
          <w:i/>
          <w:sz w:val="24"/>
          <w:szCs w:val="24"/>
          <w:lang w:val="de-DE"/>
        </w:rPr>
        <w:t>Festschrift für Harro Otto zum 70. Geburtstag am 01. April 2007</w:t>
      </w:r>
      <w:r w:rsidRPr="009C352D">
        <w:rPr>
          <w:rFonts w:ascii="Myriad Pro" w:hAnsi="Myriad Pro"/>
          <w:sz w:val="24"/>
          <w:szCs w:val="24"/>
          <w:lang w:val="de-DE"/>
        </w:rPr>
        <w:t>(pp. 355-371). Köln: C. Heymanns.</w:t>
      </w:r>
    </w:p>
    <w:p w14:paraId="0B391215" w14:textId="77777777" w:rsidR="009C352D" w:rsidRPr="009C352D" w:rsidRDefault="009C352D" w:rsidP="004E104E">
      <w:pPr>
        <w:spacing w:before="180" w:after="180"/>
        <w:jc w:val="both"/>
        <w:rPr>
          <w:rFonts w:ascii="Myriad Pro" w:hAnsi="Myriad Pro"/>
          <w:sz w:val="24"/>
          <w:szCs w:val="24"/>
          <w:lang w:val="de-DE"/>
        </w:rPr>
      </w:pPr>
      <w:r w:rsidRPr="009C352D">
        <w:rPr>
          <w:rFonts w:ascii="Myriad Pro" w:hAnsi="Myriad Pro"/>
          <w:sz w:val="24"/>
          <w:szCs w:val="24"/>
          <w:lang w:val="de-DE"/>
        </w:rPr>
        <w:t xml:space="preserve">Kindhäuser, U. (2007b). Der subjektive Tatbestand im Verbrechensaufbau. Zugleich eine Kritik der Lehre von der objektiven Zurechnung. </w:t>
      </w:r>
      <w:r w:rsidRPr="009C352D">
        <w:rPr>
          <w:rFonts w:ascii="Myriad Pro" w:hAnsi="Myriad Pro"/>
          <w:i/>
          <w:sz w:val="24"/>
          <w:szCs w:val="24"/>
          <w:lang w:val="de-DE"/>
        </w:rPr>
        <w:t>Goltdammer's Archiv für Strafrecht, 154</w:t>
      </w:r>
      <w:r w:rsidRPr="009C352D">
        <w:rPr>
          <w:rFonts w:ascii="Myriad Pro" w:hAnsi="Myriad Pro"/>
          <w:sz w:val="24"/>
          <w:szCs w:val="24"/>
          <w:lang w:val="de-DE"/>
        </w:rPr>
        <w:t>(8), 447-468.</w:t>
      </w:r>
    </w:p>
    <w:p w14:paraId="277754F2"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de-DE"/>
        </w:rPr>
        <w:t xml:space="preserve">Kindhäuser, U. (2009). Die deutsche Strafrechtsdogmatik zwischen Anpassung und Selbstbehauptung – Grenzkontrolle der Kriminalpolitik durch die Dogmatik. </w:t>
      </w:r>
      <w:r w:rsidRPr="009C352D">
        <w:rPr>
          <w:rFonts w:ascii="Myriad Pro" w:hAnsi="Myriad Pro"/>
          <w:i/>
          <w:sz w:val="24"/>
          <w:szCs w:val="24"/>
          <w:lang w:val="de-DE"/>
        </w:rPr>
        <w:t>Zeitschrift für die gesamte Strafrechtswissenschaft</w:t>
      </w:r>
      <w:r w:rsidRPr="009C352D">
        <w:rPr>
          <w:rFonts w:ascii="Myriad Pro" w:hAnsi="Myriad Pro"/>
          <w:sz w:val="24"/>
          <w:szCs w:val="24"/>
          <w:lang w:val="de-DE"/>
        </w:rPr>
        <w:t>, 121(4), 954-964. d</w:t>
      </w:r>
      <w:r w:rsidRPr="009C352D">
        <w:rPr>
          <w:rFonts w:ascii="Myriad Pro" w:hAnsi="Myriad Pro"/>
          <w:sz w:val="24"/>
          <w:szCs w:val="24"/>
          <w:lang w:val="en-US"/>
        </w:rPr>
        <w:t xml:space="preserve">oi: </w:t>
      </w:r>
      <w:hyperlink r:id="rId27" w:tgtFrame="_blank" w:history="1">
        <w:r w:rsidRPr="009C352D">
          <w:rPr>
            <w:rStyle w:val="Hipervnculo"/>
            <w:rFonts w:ascii="Myriad Pro" w:eastAsiaTheme="majorEastAsia" w:hAnsi="Myriad Pro"/>
            <w:color w:val="auto"/>
            <w:sz w:val="24"/>
            <w:szCs w:val="24"/>
            <w:u w:val="none"/>
            <w:lang w:val="en-US"/>
          </w:rPr>
          <w:t>10.1515/ZSTW.2009.954</w:t>
        </w:r>
      </w:hyperlink>
    </w:p>
    <w:p w14:paraId="28028CED"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Kindhäuser, U. (2010). Zum </w:t>
      </w:r>
      <w:proofErr w:type="gramStart"/>
      <w:r w:rsidRPr="009C352D">
        <w:rPr>
          <w:rFonts w:ascii="Myriad Pro" w:hAnsi="Myriad Pro"/>
          <w:sz w:val="24"/>
          <w:szCs w:val="24"/>
          <w:lang w:val="en-US"/>
        </w:rPr>
        <w:t>sog</w:t>
      </w:r>
      <w:proofErr w:type="gramEnd"/>
      <w:r w:rsidRPr="009C352D">
        <w:rPr>
          <w:rFonts w:ascii="Myriad Pro" w:hAnsi="Myriad Pro"/>
          <w:sz w:val="24"/>
          <w:szCs w:val="24"/>
          <w:lang w:val="en-US"/>
        </w:rPr>
        <w:t>. „</w:t>
      </w:r>
      <w:proofErr w:type="gramStart"/>
      <w:r w:rsidRPr="009C352D">
        <w:rPr>
          <w:rFonts w:ascii="Myriad Pro" w:hAnsi="Myriad Pro"/>
          <w:sz w:val="24"/>
          <w:szCs w:val="24"/>
          <w:lang w:val="en-US"/>
        </w:rPr>
        <w:t>unerlaubten</w:t>
      </w:r>
      <w:proofErr w:type="gramEnd"/>
      <w:r w:rsidRPr="009C352D">
        <w:rPr>
          <w:rFonts w:ascii="Myriad Pro" w:hAnsi="Myriad Pro"/>
          <w:sz w:val="24"/>
          <w:szCs w:val="24"/>
          <w:lang w:val="en-US"/>
        </w:rPr>
        <w:t xml:space="preserve">“ Risiko. En R. Bloy, M. Böse, T. Hillenkamp, C. Momsen y P. Rackhow (Eds.), </w:t>
      </w:r>
      <w:r w:rsidRPr="009C352D">
        <w:rPr>
          <w:rFonts w:ascii="Myriad Pro" w:hAnsi="Myriad Pro"/>
          <w:i/>
          <w:sz w:val="24"/>
          <w:szCs w:val="24"/>
          <w:lang w:val="en-US"/>
        </w:rPr>
        <w:t>Gerechte Strafe und legitimes Strafrecht Festschrift für Manfred Maiwald zum 75. Geburtstag</w:t>
      </w:r>
      <w:r w:rsidRPr="009C352D">
        <w:rPr>
          <w:rFonts w:ascii="Myriad Pro" w:hAnsi="Myriad Pro"/>
          <w:sz w:val="24"/>
          <w:szCs w:val="24"/>
          <w:lang w:val="en-US"/>
        </w:rPr>
        <w:t xml:space="preserve"> (pp. 397-416), Berlín: Duncker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8" w:history="1">
        <w:r w:rsidRPr="009C352D">
          <w:rPr>
            <w:rStyle w:val="Hipervnculo"/>
            <w:rFonts w:ascii="Myriad Pro" w:hAnsi="Myriad Pro"/>
            <w:color w:val="auto"/>
            <w:sz w:val="24"/>
            <w:szCs w:val="24"/>
            <w:u w:val="none"/>
            <w:lang w:val="en-US"/>
          </w:rPr>
          <w:t>10.3790/978-3-428-52920-9</w:t>
        </w:r>
      </w:hyperlink>
    </w:p>
    <w:p w14:paraId="04E51EBE"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Kindhäuser, U. (2015a). </w:t>
      </w:r>
      <w:proofErr w:type="gramStart"/>
      <w:r w:rsidRPr="009C352D">
        <w:rPr>
          <w:rFonts w:ascii="Myriad Pro" w:hAnsi="Myriad Pro"/>
          <w:sz w:val="24"/>
          <w:szCs w:val="24"/>
          <w:lang w:val="en-US"/>
        </w:rPr>
        <w:t>Verursachen und Bedingungen.</w:t>
      </w:r>
      <w:proofErr w:type="gramEnd"/>
      <w:r w:rsidRPr="009C352D">
        <w:rPr>
          <w:rFonts w:ascii="Myriad Pro" w:hAnsi="Myriad Pro"/>
          <w:sz w:val="24"/>
          <w:szCs w:val="24"/>
          <w:lang w:val="en-US"/>
        </w:rPr>
        <w:t xml:space="preserve"> Zur Regressverbotslehre Reinhard Franks. </w:t>
      </w:r>
      <w:proofErr w:type="gramStart"/>
      <w:r w:rsidRPr="009C352D">
        <w:rPr>
          <w:rFonts w:ascii="Myriad Pro" w:hAnsi="Myriad Pro"/>
          <w:sz w:val="24"/>
          <w:szCs w:val="24"/>
          <w:lang w:val="en-US"/>
        </w:rPr>
        <w:t xml:space="preserve">En C. F. Stuckenberg y K. F. Gärditz (Eds.), </w:t>
      </w:r>
      <w:r w:rsidRPr="009C352D">
        <w:rPr>
          <w:rFonts w:ascii="Myriad Pro" w:hAnsi="Myriad Pro"/>
          <w:i/>
          <w:sz w:val="24"/>
          <w:szCs w:val="24"/>
          <w:lang w:val="en-US"/>
        </w:rPr>
        <w:t>Strafe und Prozess im fre</w:t>
      </w:r>
      <w:r w:rsidRPr="009C352D">
        <w:rPr>
          <w:rFonts w:ascii="Myriad Pro" w:hAnsi="Myriad Pro"/>
          <w:i/>
          <w:sz w:val="24"/>
          <w:szCs w:val="24"/>
          <w:lang w:val="en-US"/>
        </w:rPr>
        <w:t>i</w:t>
      </w:r>
      <w:r w:rsidRPr="009C352D">
        <w:rPr>
          <w:rFonts w:ascii="Myriad Pro" w:hAnsi="Myriad Pro"/>
          <w:i/>
          <w:sz w:val="24"/>
          <w:szCs w:val="24"/>
          <w:lang w:val="en-US"/>
        </w:rPr>
        <w:t>heitlichen Rechtsstaat Festschrift für Hans-Ullrich Paeffgen zum 70.</w:t>
      </w:r>
      <w:proofErr w:type="gramEnd"/>
      <w:r w:rsidRPr="009C352D">
        <w:rPr>
          <w:rFonts w:ascii="Myriad Pro" w:hAnsi="Myriad Pro"/>
          <w:i/>
          <w:sz w:val="24"/>
          <w:szCs w:val="24"/>
          <w:lang w:val="en-US"/>
        </w:rPr>
        <w:t xml:space="preserve"> Geburtstag am 2. Juli 2015</w:t>
      </w:r>
      <w:r w:rsidRPr="009C352D">
        <w:rPr>
          <w:rFonts w:ascii="Myriad Pro" w:hAnsi="Myriad Pro"/>
          <w:sz w:val="24"/>
          <w:szCs w:val="24"/>
          <w:lang w:val="en-US"/>
        </w:rPr>
        <w:t xml:space="preserve"> (pp. 129-151). Berlín: Duncker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29" w:history="1">
        <w:r w:rsidRPr="009C352D">
          <w:rPr>
            <w:rStyle w:val="Hipervnculo"/>
            <w:rFonts w:ascii="Myriad Pro" w:hAnsi="Myriad Pro"/>
            <w:color w:val="auto"/>
            <w:sz w:val="24"/>
            <w:szCs w:val="24"/>
            <w:u w:val="none"/>
            <w:lang w:val="en-US"/>
          </w:rPr>
          <w:t>10.3790/978-3-428-54338-0</w:t>
        </w:r>
      </w:hyperlink>
    </w:p>
    <w:p w14:paraId="64D90CCD"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lang w:val="en-US"/>
        </w:rPr>
        <w:t xml:space="preserve">Kindhäuser, U. (2015b). </w:t>
      </w:r>
      <w:r w:rsidRPr="009C352D">
        <w:rPr>
          <w:rFonts w:ascii="Myriad Pro" w:hAnsi="Myriad Pro"/>
          <w:bCs/>
          <w:i/>
          <w:sz w:val="24"/>
          <w:szCs w:val="24"/>
          <w:lang w:val="en-US"/>
        </w:rPr>
        <w:t>Strafrecht Allgemeiner Teil</w:t>
      </w:r>
      <w:r w:rsidRPr="009C352D">
        <w:rPr>
          <w:rFonts w:ascii="Myriad Pro" w:hAnsi="Myriad Pro"/>
          <w:bCs/>
          <w:sz w:val="24"/>
          <w:szCs w:val="24"/>
          <w:lang w:val="en-US"/>
        </w:rPr>
        <w:t xml:space="preserve"> (7a </w:t>
      </w:r>
      <w:proofErr w:type="gramStart"/>
      <w:r w:rsidRPr="009C352D">
        <w:rPr>
          <w:rFonts w:ascii="Myriad Pro" w:hAnsi="Myriad Pro"/>
          <w:bCs/>
          <w:sz w:val="24"/>
          <w:szCs w:val="24"/>
          <w:lang w:val="en-US"/>
        </w:rPr>
        <w:t>ed</w:t>
      </w:r>
      <w:proofErr w:type="gramEnd"/>
      <w:r w:rsidRPr="009C352D">
        <w:rPr>
          <w:rFonts w:ascii="Myriad Pro" w:hAnsi="Myriad Pro"/>
          <w:bCs/>
          <w:sz w:val="24"/>
          <w:szCs w:val="24"/>
          <w:lang w:val="en-US"/>
        </w:rPr>
        <w:t xml:space="preserve">.). </w:t>
      </w:r>
      <w:r w:rsidRPr="009C352D">
        <w:rPr>
          <w:rFonts w:ascii="Myriad Pro" w:hAnsi="Myriad Pro"/>
          <w:bCs/>
          <w:sz w:val="24"/>
          <w:szCs w:val="24"/>
        </w:rPr>
        <w:t xml:space="preserve">Baden-Baden: Nomos. </w:t>
      </w:r>
      <w:proofErr w:type="gramStart"/>
      <w:r w:rsidRPr="009C352D">
        <w:rPr>
          <w:rFonts w:ascii="Myriad Pro" w:hAnsi="Myriad Pro"/>
          <w:bCs/>
          <w:sz w:val="24"/>
          <w:szCs w:val="24"/>
        </w:rPr>
        <w:t>doi</w:t>
      </w:r>
      <w:proofErr w:type="gramEnd"/>
      <w:r w:rsidRPr="009C352D">
        <w:rPr>
          <w:rFonts w:ascii="Myriad Pro" w:hAnsi="Myriad Pro"/>
          <w:bCs/>
          <w:sz w:val="24"/>
          <w:szCs w:val="24"/>
        </w:rPr>
        <w:t xml:space="preserve">: </w:t>
      </w:r>
      <w:hyperlink r:id="rId30" w:history="1">
        <w:r w:rsidRPr="009C352D">
          <w:rPr>
            <w:rStyle w:val="Hipervnculo"/>
            <w:rFonts w:ascii="Myriad Pro" w:hAnsi="Myriad Pro"/>
            <w:bCs/>
            <w:color w:val="auto"/>
            <w:sz w:val="24"/>
            <w:szCs w:val="24"/>
            <w:u w:val="none"/>
          </w:rPr>
          <w:t>10.5771/9783845263724</w:t>
        </w:r>
      </w:hyperlink>
    </w:p>
    <w:p w14:paraId="75CD13FF" w14:textId="77777777" w:rsidR="009C352D" w:rsidRPr="009C352D" w:rsidRDefault="009C352D" w:rsidP="004E104E">
      <w:pPr>
        <w:spacing w:before="180" w:after="180"/>
        <w:jc w:val="both"/>
        <w:rPr>
          <w:rFonts w:ascii="Myriad Pro" w:hAnsi="Myriad Pro"/>
          <w:sz w:val="24"/>
          <w:szCs w:val="24"/>
          <w:lang w:val="de-DE"/>
        </w:rPr>
      </w:pPr>
      <w:r w:rsidRPr="009C352D">
        <w:rPr>
          <w:rFonts w:ascii="Myriad Pro" w:hAnsi="Myriad Pro"/>
          <w:sz w:val="24"/>
          <w:szCs w:val="24"/>
        </w:rPr>
        <w:t xml:space="preserve">Kindhäuser, U. </w:t>
      </w:r>
      <w:r w:rsidRPr="009C352D">
        <w:rPr>
          <w:rFonts w:ascii="Myriad Pro" w:hAnsi="Myriad Pro"/>
          <w:sz w:val="24"/>
          <w:szCs w:val="24"/>
          <w:lang w:val="de-DE"/>
        </w:rPr>
        <w:t xml:space="preserve">(2018). Welzels Konzeption sozialer Adäquanz – normtheoretisch betrachtet. En B. </w:t>
      </w:r>
      <w:proofErr w:type="gramStart"/>
      <w:r w:rsidRPr="009C352D">
        <w:rPr>
          <w:rFonts w:ascii="Myriad Pro" w:hAnsi="Myriad Pro"/>
          <w:sz w:val="24"/>
          <w:szCs w:val="24"/>
          <w:lang w:val="en-US"/>
        </w:rPr>
        <w:t>Hecker,</w:t>
      </w:r>
      <w:r w:rsidRPr="009C352D">
        <w:rPr>
          <w:rFonts w:ascii="Myriad Pro" w:hAnsi="Myriad Pro"/>
          <w:sz w:val="24"/>
          <w:szCs w:val="24"/>
          <w:lang w:val="de-DE"/>
        </w:rPr>
        <w:t xml:space="preserve"> W. Weißer y C. Brand (Eds.), </w:t>
      </w:r>
      <w:r w:rsidRPr="009C352D">
        <w:rPr>
          <w:rFonts w:ascii="Myriad Pro" w:hAnsi="Myriad Pro"/>
          <w:i/>
          <w:iCs/>
          <w:sz w:val="24"/>
          <w:szCs w:val="24"/>
          <w:lang w:val="de-DE"/>
        </w:rPr>
        <w:t>Festschrift für Rudolf Rengier zum 70.</w:t>
      </w:r>
      <w:proofErr w:type="gramEnd"/>
      <w:r w:rsidRPr="009C352D">
        <w:rPr>
          <w:rFonts w:ascii="Myriad Pro" w:hAnsi="Myriad Pro"/>
          <w:i/>
          <w:iCs/>
          <w:sz w:val="24"/>
          <w:szCs w:val="24"/>
          <w:lang w:val="de-DE"/>
        </w:rPr>
        <w:t xml:space="preserve"> Geburtstag</w:t>
      </w:r>
      <w:r w:rsidRPr="009C352D">
        <w:rPr>
          <w:rFonts w:ascii="Myriad Pro" w:hAnsi="Myriad Pro"/>
          <w:iCs/>
          <w:sz w:val="24"/>
          <w:szCs w:val="24"/>
          <w:lang w:val="de-DE"/>
        </w:rPr>
        <w:t xml:space="preserve"> (pp. 49-58).</w:t>
      </w:r>
      <w:r w:rsidRPr="009C352D">
        <w:rPr>
          <w:rFonts w:ascii="Myriad Pro" w:hAnsi="Myriad Pro"/>
          <w:sz w:val="24"/>
          <w:szCs w:val="24"/>
          <w:lang w:val="de-DE"/>
        </w:rPr>
        <w:t xml:space="preserve"> Berlín: C.H. Beck.</w:t>
      </w:r>
    </w:p>
    <w:p w14:paraId="578523AF"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Kudlich, H. (2002). „Neutrale Beihilfe” bei der Mitwirkung </w:t>
      </w:r>
      <w:proofErr w:type="gramStart"/>
      <w:r w:rsidRPr="009C352D">
        <w:rPr>
          <w:rFonts w:ascii="Myriad Pro" w:hAnsi="Myriad Pro"/>
          <w:sz w:val="24"/>
          <w:szCs w:val="24"/>
          <w:lang w:val="en-US"/>
        </w:rPr>
        <w:t>an</w:t>
      </w:r>
      <w:proofErr w:type="gramEnd"/>
      <w:r w:rsidRPr="009C352D">
        <w:rPr>
          <w:rFonts w:ascii="Myriad Pro" w:hAnsi="Myriad Pro"/>
          <w:sz w:val="24"/>
          <w:szCs w:val="24"/>
          <w:lang w:val="en-US"/>
        </w:rPr>
        <w:t xml:space="preserve"> der Sicherung der i</w:t>
      </w:r>
      <w:r w:rsidRPr="009C352D">
        <w:rPr>
          <w:rFonts w:ascii="Myriad Pro" w:hAnsi="Myriad Pro"/>
          <w:sz w:val="24"/>
          <w:szCs w:val="24"/>
          <w:lang w:val="en-US"/>
        </w:rPr>
        <w:t>n</w:t>
      </w:r>
      <w:r w:rsidRPr="009C352D">
        <w:rPr>
          <w:rFonts w:ascii="Myriad Pro" w:hAnsi="Myriad Pro"/>
          <w:sz w:val="24"/>
          <w:szCs w:val="24"/>
          <w:lang w:val="en-US"/>
        </w:rPr>
        <w:t xml:space="preserve">nerdeutschen Grenze – BGH. </w:t>
      </w:r>
      <w:proofErr w:type="gramStart"/>
      <w:r w:rsidRPr="009C352D">
        <w:rPr>
          <w:rFonts w:ascii="Myriad Pro" w:hAnsi="Myriad Pro"/>
          <w:sz w:val="24"/>
          <w:szCs w:val="24"/>
          <w:lang w:val="en-US"/>
        </w:rPr>
        <w:t>NJW 2001, 2409.</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Juristische Schulung, 42</w:t>
      </w:r>
      <w:r w:rsidRPr="009C352D">
        <w:rPr>
          <w:rFonts w:ascii="Myriad Pro" w:hAnsi="Myriad Pro"/>
          <w:sz w:val="24"/>
          <w:szCs w:val="24"/>
          <w:lang w:val="en-US"/>
        </w:rPr>
        <w:t>(8), 751-755.</w:t>
      </w:r>
    </w:p>
    <w:p w14:paraId="29B6C8C4"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Kudlich, H. (2004). </w:t>
      </w:r>
      <w:r w:rsidRPr="009C352D">
        <w:rPr>
          <w:rFonts w:ascii="Myriad Pro" w:hAnsi="Myriad Pro"/>
          <w:i/>
          <w:sz w:val="24"/>
          <w:szCs w:val="24"/>
          <w:lang w:val="en-US"/>
        </w:rPr>
        <w:t>Die Unterstützung fremder Straftaten durch berufsbedingtes Verhalten</w:t>
      </w:r>
      <w:r w:rsidRPr="009C352D">
        <w:rPr>
          <w:rFonts w:ascii="Myriad Pro" w:hAnsi="Myriad Pro"/>
          <w:sz w:val="24"/>
          <w:szCs w:val="24"/>
          <w:lang w:val="en-US"/>
        </w:rPr>
        <w:t>.</w:t>
      </w:r>
      <w:r w:rsidRPr="009C352D">
        <w:rPr>
          <w:rFonts w:ascii="Myriad Pro" w:hAnsi="Myriad Pro"/>
          <w:bCs/>
          <w:sz w:val="24"/>
          <w:szCs w:val="24"/>
          <w:lang w:val="en-US"/>
        </w:rPr>
        <w:t xml:space="preserve"> Berlín: </w:t>
      </w:r>
      <w:r w:rsidRPr="009C352D">
        <w:rPr>
          <w:rFonts w:ascii="Myriad Pro" w:hAnsi="Myriad Pro"/>
          <w:sz w:val="24"/>
          <w:szCs w:val="24"/>
          <w:lang w:val="en-US"/>
        </w:rPr>
        <w:t xml:space="preserve">Duncker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31" w:history="1">
        <w:r w:rsidRPr="009C352D">
          <w:rPr>
            <w:rStyle w:val="Hipervnculo"/>
            <w:rFonts w:ascii="Myriad Pro" w:hAnsi="Myriad Pro"/>
            <w:color w:val="auto"/>
            <w:sz w:val="24"/>
            <w:szCs w:val="24"/>
            <w:u w:val="none"/>
            <w:lang w:val="en-US"/>
          </w:rPr>
          <w:t>10.3790/978-3-428-51444-1</w:t>
        </w:r>
      </w:hyperlink>
    </w:p>
    <w:p w14:paraId="6440D906"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Kudlich, H. (2008). Tiroler Gastfreundschaft auch für deutsches Geld - Anstiftung zur Steuerhinterziehung durch berufsbedingtes Verhalten</w:t>
      </w:r>
      <w:proofErr w:type="gramStart"/>
      <w:r w:rsidRPr="009C352D">
        <w:rPr>
          <w:rFonts w:ascii="Myriad Pro" w:hAnsi="Myriad Pro"/>
          <w:sz w:val="24"/>
          <w:szCs w:val="24"/>
          <w:lang w:val="en-US"/>
        </w:rPr>
        <w:t>?.</w:t>
      </w:r>
      <w:proofErr w:type="gramEnd"/>
      <w:r w:rsidRPr="009C352D">
        <w:rPr>
          <w:rFonts w:ascii="Myriad Pro" w:hAnsi="Myriad Pro"/>
          <w:sz w:val="24"/>
          <w:szCs w:val="24"/>
          <w:lang w:val="en-US"/>
        </w:rPr>
        <w:t xml:space="preserve"> En U. Sieber, G. </w:t>
      </w:r>
      <w:r w:rsidRPr="009C352D">
        <w:rPr>
          <w:rFonts w:ascii="Myriad Pro" w:hAnsi="Myriad Pro" w:cs="Arial"/>
          <w:color w:val="000000"/>
          <w:sz w:val="24"/>
          <w:szCs w:val="24"/>
          <w:lang w:val="en-US"/>
        </w:rPr>
        <w:t>Dannecker, U. Kindhäuser, J. Vogel y T. Walter</w:t>
      </w:r>
      <w:r w:rsidRPr="009C352D">
        <w:rPr>
          <w:rFonts w:ascii="Myriad Pro" w:hAnsi="Myriad Pro"/>
          <w:sz w:val="24"/>
          <w:szCs w:val="24"/>
          <w:lang w:val="en-US"/>
        </w:rPr>
        <w:t xml:space="preserve"> (Eds.), </w:t>
      </w:r>
      <w:r w:rsidRPr="009C352D">
        <w:rPr>
          <w:rFonts w:ascii="Myriad Pro" w:hAnsi="Myriad Pro"/>
          <w:i/>
          <w:sz w:val="24"/>
          <w:szCs w:val="24"/>
          <w:lang w:val="en-US"/>
        </w:rPr>
        <w:t>Strafrecht und Wirtschaftsstrafrecht: Dogma</w:t>
      </w:r>
      <w:r w:rsidRPr="009C352D">
        <w:rPr>
          <w:rFonts w:ascii="Myriad Pro" w:hAnsi="Myriad Pro"/>
          <w:i/>
          <w:sz w:val="24"/>
          <w:szCs w:val="24"/>
          <w:lang w:val="en-US"/>
        </w:rPr>
        <w:t>t</w:t>
      </w:r>
      <w:r w:rsidRPr="009C352D">
        <w:rPr>
          <w:rFonts w:ascii="Myriad Pro" w:hAnsi="Myriad Pro"/>
          <w:i/>
          <w:sz w:val="24"/>
          <w:szCs w:val="24"/>
          <w:lang w:val="en-US"/>
        </w:rPr>
        <w:t>ik, Rechtsvergleich, Rechtstatsachen ; Festschrift fu</w:t>
      </w:r>
      <w:r w:rsidRPr="009C352D">
        <w:rPr>
          <w:rFonts w:ascii="Arial" w:hAnsi="Arial" w:cs="Arial"/>
          <w:i/>
          <w:sz w:val="24"/>
          <w:szCs w:val="24"/>
          <w:lang w:val="en-US"/>
        </w:rPr>
        <w:t>̈</w:t>
      </w:r>
      <w:r w:rsidRPr="009C352D">
        <w:rPr>
          <w:rFonts w:ascii="Myriad Pro" w:hAnsi="Myriad Pro"/>
          <w:i/>
          <w:sz w:val="24"/>
          <w:szCs w:val="24"/>
          <w:lang w:val="en-US"/>
        </w:rPr>
        <w:t>r Klaus Tiedemann zum 70. Geburtstag</w:t>
      </w:r>
      <w:r w:rsidRPr="009C352D">
        <w:rPr>
          <w:rFonts w:ascii="Myriad Pro" w:hAnsi="Myriad Pro"/>
          <w:sz w:val="24"/>
          <w:szCs w:val="24"/>
          <w:lang w:val="en-US"/>
        </w:rPr>
        <w:t xml:space="preserve"> (pp. 221-236). Köln: Heymann.</w:t>
      </w:r>
    </w:p>
    <w:p w14:paraId="26D2A282"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lang w:val="en-US"/>
        </w:rPr>
        <w:t>Lesch, H. (2014). Beihilfe durch „rollenadäquates</w:t>
      </w:r>
      <w:proofErr w:type="gramStart"/>
      <w:r w:rsidRPr="009C352D">
        <w:rPr>
          <w:rFonts w:ascii="Myriad Pro" w:hAnsi="Myriad Pro"/>
          <w:sz w:val="24"/>
          <w:szCs w:val="24"/>
          <w:lang w:val="en-US"/>
        </w:rPr>
        <w:t>“ Verhalten</w:t>
      </w:r>
      <w:proofErr w:type="gramEnd"/>
      <w:r w:rsidRPr="009C352D">
        <w:rPr>
          <w:rFonts w:ascii="Myriad Pro" w:hAnsi="Myriad Pro"/>
          <w:sz w:val="24"/>
          <w:szCs w:val="24"/>
          <w:lang w:val="en-US"/>
        </w:rPr>
        <w:t xml:space="preserve">?. En K. Lüderssen, K. Volk, y E. Wahle (Eds.), </w:t>
      </w:r>
      <w:r w:rsidRPr="009C352D">
        <w:rPr>
          <w:rFonts w:ascii="Myriad Pro" w:hAnsi="Myriad Pro"/>
          <w:i/>
          <w:sz w:val="24"/>
          <w:szCs w:val="24"/>
          <w:lang w:val="en-US"/>
        </w:rPr>
        <w:t xml:space="preserve">Festschrift für Wolf Schiller zum 65. </w:t>
      </w:r>
      <w:r w:rsidRPr="009C352D">
        <w:rPr>
          <w:rFonts w:ascii="Myriad Pro" w:hAnsi="Myriad Pro"/>
          <w:i/>
          <w:sz w:val="24"/>
          <w:szCs w:val="24"/>
        </w:rPr>
        <w:t>Geburtstag am 12. Januar 2014</w:t>
      </w:r>
      <w:r w:rsidRPr="009C352D">
        <w:rPr>
          <w:rFonts w:ascii="Myriad Pro" w:hAnsi="Myriad Pro"/>
          <w:sz w:val="24"/>
          <w:szCs w:val="24"/>
        </w:rPr>
        <w:t xml:space="preserve"> (pp. 448-473). Baden-Baden: Nomos. </w:t>
      </w:r>
      <w:proofErr w:type="gramStart"/>
      <w:r w:rsidRPr="009C352D">
        <w:rPr>
          <w:rFonts w:ascii="Myriad Pro" w:hAnsi="Myriad Pro"/>
          <w:sz w:val="24"/>
          <w:szCs w:val="24"/>
        </w:rPr>
        <w:t>doi</w:t>
      </w:r>
      <w:proofErr w:type="gramEnd"/>
      <w:r w:rsidRPr="009C352D">
        <w:rPr>
          <w:rFonts w:ascii="Myriad Pro" w:hAnsi="Myriad Pro"/>
          <w:sz w:val="24"/>
          <w:szCs w:val="24"/>
        </w:rPr>
        <w:t xml:space="preserve">: </w:t>
      </w:r>
      <w:hyperlink r:id="rId32" w:history="1">
        <w:r w:rsidRPr="009C352D">
          <w:rPr>
            <w:rStyle w:val="Hipervnculo"/>
            <w:rFonts w:ascii="Myriad Pro" w:hAnsi="Myriad Pro"/>
            <w:color w:val="auto"/>
            <w:sz w:val="24"/>
            <w:szCs w:val="24"/>
            <w:u w:val="none"/>
          </w:rPr>
          <w:t>10.5771/9783845244099</w:t>
        </w:r>
      </w:hyperlink>
    </w:p>
    <w:p w14:paraId="79B11B35"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lastRenderedPageBreak/>
        <w:t xml:space="preserve">López Díaz, C. (Trad.). (1999). </w:t>
      </w:r>
      <w:r w:rsidRPr="009C352D">
        <w:rPr>
          <w:rFonts w:ascii="Myriad Pro" w:hAnsi="Myriad Pro"/>
          <w:i/>
          <w:sz w:val="24"/>
          <w:szCs w:val="24"/>
        </w:rPr>
        <w:t>Código penal alemán (STGB): del 15 de mayo de 1871, con la última reforma del 31 de enero de 1998</w:t>
      </w:r>
      <w:r w:rsidRPr="009C352D">
        <w:rPr>
          <w:rFonts w:ascii="Myriad Pro" w:hAnsi="Myriad Pro"/>
          <w:sz w:val="24"/>
          <w:szCs w:val="24"/>
        </w:rPr>
        <w:t>. Bogotá: Universidad Externado de Colo</w:t>
      </w:r>
      <w:r w:rsidRPr="009C352D">
        <w:rPr>
          <w:rFonts w:ascii="Myriad Pro" w:hAnsi="Myriad Pro"/>
          <w:sz w:val="24"/>
          <w:szCs w:val="24"/>
        </w:rPr>
        <w:t>m</w:t>
      </w:r>
      <w:r w:rsidRPr="009C352D">
        <w:rPr>
          <w:rFonts w:ascii="Myriad Pro" w:hAnsi="Myriad Pro"/>
          <w:sz w:val="24"/>
          <w:szCs w:val="24"/>
        </w:rPr>
        <w:t xml:space="preserve">bia. Recuperado de </w:t>
      </w:r>
      <w:hyperlink r:id="rId33" w:history="1">
        <w:r w:rsidRPr="009C352D">
          <w:rPr>
            <w:rStyle w:val="Hipervnculo"/>
            <w:rFonts w:ascii="Myriad Pro" w:hAnsi="Myriad Pro"/>
            <w:color w:val="auto"/>
            <w:sz w:val="24"/>
            <w:szCs w:val="24"/>
            <w:u w:val="none"/>
          </w:rPr>
          <w:t>https://bit.ly/3t0ymnZ</w:t>
        </w:r>
      </w:hyperlink>
    </w:p>
    <w:p w14:paraId="1A6DB31F"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Löwe-Krahl, O. (1995). Beteiligung von Bankangestellten </w:t>
      </w:r>
      <w:proofErr w:type="gramStart"/>
      <w:r w:rsidRPr="009C352D">
        <w:rPr>
          <w:rFonts w:ascii="Myriad Pro" w:hAnsi="Myriad Pro"/>
          <w:sz w:val="24"/>
          <w:szCs w:val="24"/>
          <w:lang w:val="en-US"/>
        </w:rPr>
        <w:t>an</w:t>
      </w:r>
      <w:proofErr w:type="gramEnd"/>
      <w:r w:rsidRPr="009C352D">
        <w:rPr>
          <w:rFonts w:ascii="Myriad Pro" w:hAnsi="Myriad Pro"/>
          <w:sz w:val="24"/>
          <w:szCs w:val="24"/>
          <w:lang w:val="en-US"/>
        </w:rPr>
        <w:t xml:space="preserve"> Steuerhinterziehungen ihrer Kunden –die Tatbestandsmäßigkeit berufstypischer Handlungen. </w:t>
      </w:r>
      <w:r w:rsidRPr="009C352D">
        <w:rPr>
          <w:rFonts w:ascii="Myriad Pro" w:hAnsi="Myriad Pro"/>
          <w:i/>
          <w:sz w:val="24"/>
          <w:szCs w:val="24"/>
          <w:lang w:val="en-US"/>
        </w:rPr>
        <w:t>Wistra (He</w:t>
      </w:r>
      <w:r w:rsidRPr="009C352D">
        <w:rPr>
          <w:rFonts w:ascii="Myriad Pro" w:hAnsi="Myriad Pro"/>
          <w:i/>
          <w:sz w:val="24"/>
          <w:szCs w:val="24"/>
          <w:lang w:val="en-US"/>
        </w:rPr>
        <w:t>i</w:t>
      </w:r>
      <w:r w:rsidRPr="009C352D">
        <w:rPr>
          <w:rFonts w:ascii="Myriad Pro" w:hAnsi="Myriad Pro"/>
          <w:i/>
          <w:sz w:val="24"/>
          <w:szCs w:val="24"/>
          <w:lang w:val="en-US"/>
        </w:rPr>
        <w:t>delberg)</w:t>
      </w:r>
      <w:r w:rsidRPr="009C352D">
        <w:rPr>
          <w:rFonts w:ascii="Myriad Pro" w:hAnsi="Myriad Pro"/>
          <w:sz w:val="24"/>
          <w:szCs w:val="24"/>
          <w:lang w:val="en-US"/>
        </w:rPr>
        <w:t>, (6), 201-206.</w:t>
      </w:r>
    </w:p>
    <w:p w14:paraId="7D7D7144"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Mañalich Raffo, J. P. (2015). </w:t>
      </w:r>
      <w:proofErr w:type="gramStart"/>
      <w:r w:rsidRPr="009C352D">
        <w:rPr>
          <w:rFonts w:ascii="Myriad Pro" w:hAnsi="Myriad Pro"/>
          <w:sz w:val="24"/>
          <w:szCs w:val="24"/>
          <w:lang w:val="en-US"/>
        </w:rPr>
        <w:t>Erlaubnisnormen und Duldungspflichten.</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Rechtsphilos</w:t>
      </w:r>
      <w:r w:rsidRPr="009C352D">
        <w:rPr>
          <w:rFonts w:ascii="Myriad Pro" w:hAnsi="Myriad Pro"/>
          <w:i/>
          <w:sz w:val="24"/>
          <w:szCs w:val="24"/>
          <w:lang w:val="en-US"/>
        </w:rPr>
        <w:t>o</w:t>
      </w:r>
      <w:r w:rsidRPr="009C352D">
        <w:rPr>
          <w:rFonts w:ascii="Myriad Pro" w:hAnsi="Myriad Pro"/>
          <w:i/>
          <w:sz w:val="24"/>
          <w:szCs w:val="24"/>
          <w:lang w:val="en-US"/>
        </w:rPr>
        <w:t>phie (Mu</w:t>
      </w:r>
      <w:r w:rsidRPr="009C352D">
        <w:rPr>
          <w:rFonts w:ascii="Arial" w:hAnsi="Arial" w:cs="Arial"/>
          <w:i/>
          <w:sz w:val="24"/>
          <w:szCs w:val="24"/>
          <w:lang w:val="en-US"/>
        </w:rPr>
        <w:t>̈</w:t>
      </w:r>
      <w:r w:rsidRPr="009C352D">
        <w:rPr>
          <w:rFonts w:ascii="Myriad Pro" w:hAnsi="Myriad Pro"/>
          <w:i/>
          <w:sz w:val="24"/>
          <w:szCs w:val="24"/>
          <w:lang w:val="en-US"/>
        </w:rPr>
        <w:t>nchen. Beck), 1</w:t>
      </w:r>
      <w:r w:rsidRPr="009C352D">
        <w:rPr>
          <w:rFonts w:ascii="Myriad Pro" w:hAnsi="Myriad Pro"/>
          <w:sz w:val="24"/>
          <w:szCs w:val="24"/>
          <w:lang w:val="en-US"/>
        </w:rPr>
        <w:t xml:space="preserve">(3), 288-323.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34" w:history="1">
        <w:r w:rsidRPr="009C352D">
          <w:rPr>
            <w:rStyle w:val="Hipervnculo"/>
            <w:rFonts w:ascii="Myriad Pro" w:hAnsi="Myriad Pro"/>
            <w:color w:val="auto"/>
            <w:sz w:val="24"/>
            <w:szCs w:val="24"/>
            <w:u w:val="none"/>
            <w:lang w:val="en-US"/>
          </w:rPr>
          <w:t>10.5771/2364-1355-2015-3-288</w:t>
        </w:r>
      </w:hyperlink>
    </w:p>
    <w:p w14:paraId="506F4912"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Meyer-Arndt, L. (1989), Beihilfe durch neutrale Handlungen</w:t>
      </w:r>
      <w:proofErr w:type="gramStart"/>
      <w:r w:rsidRPr="009C352D">
        <w:rPr>
          <w:rFonts w:ascii="Myriad Pro" w:hAnsi="Myriad Pro"/>
          <w:sz w:val="24"/>
          <w:szCs w:val="24"/>
          <w:lang w:val="en-US"/>
        </w:rPr>
        <w:t>?.</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Wistra (Heidelberg)</w:t>
      </w:r>
      <w:r w:rsidRPr="009C352D">
        <w:rPr>
          <w:rFonts w:ascii="Myriad Pro" w:hAnsi="Myriad Pro"/>
          <w:sz w:val="24"/>
          <w:szCs w:val="24"/>
          <w:lang w:val="en-US"/>
        </w:rPr>
        <w:t>, (8), 281-287.</w:t>
      </w:r>
    </w:p>
    <w:p w14:paraId="58530BAF"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Momsen, C. (2010). Neutralen Verhaltensweisen und Unterlassungen im I</w:t>
      </w:r>
      <w:r w:rsidRPr="009C352D">
        <w:rPr>
          <w:rFonts w:ascii="Myriad Pro" w:hAnsi="Myriad Pro"/>
          <w:sz w:val="24"/>
          <w:szCs w:val="24"/>
          <w:lang w:val="en-US"/>
        </w:rPr>
        <w:t>n</w:t>
      </w:r>
      <w:r w:rsidRPr="009C352D">
        <w:rPr>
          <w:rFonts w:ascii="Myriad Pro" w:hAnsi="Myriad Pro"/>
          <w:sz w:val="24"/>
          <w:szCs w:val="24"/>
          <w:lang w:val="en-US"/>
        </w:rPr>
        <w:t xml:space="preserve">siderstrafrecht. En R. Bloy, M. Böse. T. Hillenkamp, C. Momsen, y P. Rackow (Eds.), </w:t>
      </w:r>
      <w:r w:rsidRPr="009C352D">
        <w:rPr>
          <w:rFonts w:ascii="Myriad Pro" w:hAnsi="Myriad Pro"/>
          <w:i/>
          <w:sz w:val="24"/>
          <w:szCs w:val="24"/>
          <w:lang w:val="en-US"/>
        </w:rPr>
        <w:t>Gerechte Strafe und legitimes Strafrecht Festschrift für Manfred Maiwald zum 75</w:t>
      </w:r>
      <w:r w:rsidRPr="009C352D">
        <w:rPr>
          <w:rFonts w:ascii="Myriad Pro" w:hAnsi="Myriad Pro"/>
          <w:sz w:val="24"/>
          <w:szCs w:val="24"/>
          <w:lang w:val="en-US"/>
        </w:rPr>
        <w:t xml:space="preserve"> (pp. 561-584)</w:t>
      </w:r>
      <w:r w:rsidRPr="009C352D">
        <w:rPr>
          <w:rFonts w:ascii="Myriad Pro" w:hAnsi="Myriad Pro"/>
          <w:i/>
          <w:sz w:val="24"/>
          <w:szCs w:val="24"/>
          <w:lang w:val="en-US"/>
        </w:rPr>
        <w:t xml:space="preserve">. </w:t>
      </w:r>
      <w:proofErr w:type="gramStart"/>
      <w:r w:rsidRPr="009C352D">
        <w:rPr>
          <w:rFonts w:ascii="Myriad Pro" w:hAnsi="Myriad Pro"/>
          <w:sz w:val="24"/>
          <w:szCs w:val="24"/>
          <w:lang w:val="en-US"/>
        </w:rPr>
        <w:t>Geburtstag.</w:t>
      </w:r>
      <w:proofErr w:type="gramEnd"/>
      <w:r w:rsidRPr="009C352D">
        <w:rPr>
          <w:rFonts w:ascii="Myriad Pro" w:hAnsi="Myriad Pro"/>
          <w:sz w:val="24"/>
          <w:szCs w:val="24"/>
          <w:lang w:val="en-US"/>
        </w:rPr>
        <w:t xml:space="preserve"> Berlin: Duncker &amp; Humblot.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35" w:history="1">
        <w:r w:rsidRPr="009C352D">
          <w:rPr>
            <w:rStyle w:val="Hipervnculo"/>
            <w:rFonts w:ascii="Myriad Pro" w:hAnsi="Myriad Pro"/>
            <w:color w:val="auto"/>
            <w:sz w:val="24"/>
            <w:szCs w:val="24"/>
            <w:u w:val="none"/>
            <w:lang w:val="en-US"/>
          </w:rPr>
          <w:t>10.3790/978-3-428-52920-9</w:t>
        </w:r>
      </w:hyperlink>
    </w:p>
    <w:p w14:paraId="04F411BE"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Naucke, W. (1964).</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Über das Regreßverbot im Strafrecht.</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Zeitschrift für die gesamte Strafrechtswissenschaft</w:t>
      </w:r>
      <w:r w:rsidRPr="009C352D">
        <w:rPr>
          <w:rFonts w:ascii="Myriad Pro" w:hAnsi="Myriad Pro"/>
          <w:sz w:val="24"/>
          <w:szCs w:val="24"/>
          <w:lang w:val="en-US"/>
        </w:rPr>
        <w:t xml:space="preserve">, 76(3), 409-440.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36" w:tgtFrame="_blank" w:history="1">
        <w:r w:rsidRPr="009C352D">
          <w:rPr>
            <w:rStyle w:val="Hipervnculo"/>
            <w:rFonts w:ascii="Myriad Pro" w:eastAsiaTheme="majorEastAsia" w:hAnsi="Myriad Pro"/>
            <w:color w:val="auto"/>
            <w:sz w:val="24"/>
            <w:szCs w:val="24"/>
            <w:u w:val="none"/>
            <w:lang w:val="en-US"/>
          </w:rPr>
          <w:t>10.1515/zstw.1964.76.3.409</w:t>
        </w:r>
      </w:hyperlink>
    </w:p>
    <w:p w14:paraId="22595F59"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Niedermaier, H. (1995). Straflose Beihilfe durch neutrale Handlungen</w:t>
      </w:r>
      <w:proofErr w:type="gramStart"/>
      <w:r w:rsidRPr="009C352D">
        <w:rPr>
          <w:rFonts w:ascii="Myriad Pro" w:hAnsi="Myriad Pro"/>
          <w:sz w:val="24"/>
          <w:szCs w:val="24"/>
          <w:lang w:val="en-US"/>
        </w:rPr>
        <w:t>?.</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Zeitschrift für die gesamte Strafrechtswissenschaft</w:t>
      </w:r>
      <w:r w:rsidRPr="009C352D">
        <w:rPr>
          <w:rFonts w:ascii="Myriad Pro" w:hAnsi="Myriad Pro"/>
          <w:sz w:val="24"/>
          <w:szCs w:val="24"/>
          <w:lang w:val="en-US"/>
        </w:rPr>
        <w:t xml:space="preserve">, 107(3), 507-544.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37" w:tgtFrame="_blank" w:history="1">
        <w:r w:rsidRPr="009C352D">
          <w:rPr>
            <w:rStyle w:val="Hipervnculo"/>
            <w:rFonts w:ascii="Myriad Pro" w:eastAsiaTheme="majorEastAsia" w:hAnsi="Myriad Pro"/>
            <w:color w:val="auto"/>
            <w:sz w:val="24"/>
            <w:szCs w:val="24"/>
            <w:u w:val="none"/>
            <w:lang w:val="en-US"/>
          </w:rPr>
          <w:t>10.1515/zstw.1995.107.3.507</w:t>
        </w:r>
      </w:hyperlink>
    </w:p>
    <w:p w14:paraId="59AB8B15"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Otto, H. (1998).</w:t>
      </w:r>
      <w:proofErr w:type="gramEnd"/>
      <w:r w:rsidRPr="009C352D">
        <w:rPr>
          <w:rFonts w:ascii="Myriad Pro" w:hAnsi="Myriad Pro"/>
          <w:sz w:val="24"/>
          <w:szCs w:val="24"/>
          <w:lang w:val="en-US"/>
        </w:rPr>
        <w:t xml:space="preserve"> „Vorgeleistete Strafvereitelung” durch berufstypische </w:t>
      </w:r>
      <w:proofErr w:type="gramStart"/>
      <w:r w:rsidRPr="009C352D">
        <w:rPr>
          <w:rFonts w:ascii="Myriad Pro" w:hAnsi="Myriad Pro"/>
          <w:sz w:val="24"/>
          <w:szCs w:val="24"/>
          <w:lang w:val="en-US"/>
        </w:rPr>
        <w:t>oder</w:t>
      </w:r>
      <w:proofErr w:type="gramEnd"/>
      <w:r w:rsidRPr="009C352D">
        <w:rPr>
          <w:rFonts w:ascii="Myriad Pro" w:hAnsi="Myriad Pro"/>
          <w:sz w:val="24"/>
          <w:szCs w:val="24"/>
          <w:lang w:val="en-US"/>
        </w:rPr>
        <w:t xml:space="preserve"> alltägliche Verhaltensweisen als Beihilfe”. En A. Eser, U. Schittenhelm, y H. Schumann (Eds.), </w:t>
      </w:r>
      <w:r w:rsidRPr="009C352D">
        <w:rPr>
          <w:rFonts w:ascii="Myriad Pro" w:hAnsi="Myriad Pro"/>
          <w:i/>
          <w:sz w:val="24"/>
          <w:szCs w:val="24"/>
          <w:lang w:val="en-US"/>
        </w:rPr>
        <w:t>Fes</w:t>
      </w:r>
      <w:r w:rsidRPr="009C352D">
        <w:rPr>
          <w:rFonts w:ascii="Myriad Pro" w:hAnsi="Myriad Pro"/>
          <w:i/>
          <w:sz w:val="24"/>
          <w:szCs w:val="24"/>
          <w:lang w:val="en-US"/>
        </w:rPr>
        <w:t>t</w:t>
      </w:r>
      <w:r w:rsidRPr="009C352D">
        <w:rPr>
          <w:rFonts w:ascii="Myriad Pro" w:hAnsi="Myriad Pro"/>
          <w:i/>
          <w:sz w:val="24"/>
          <w:szCs w:val="24"/>
          <w:lang w:val="en-US"/>
        </w:rPr>
        <w:t>schrift fu</w:t>
      </w:r>
      <w:r w:rsidRPr="009C352D">
        <w:rPr>
          <w:rFonts w:ascii="Arial" w:hAnsi="Arial" w:cs="Arial"/>
          <w:i/>
          <w:sz w:val="24"/>
          <w:szCs w:val="24"/>
          <w:lang w:val="en-US"/>
        </w:rPr>
        <w:t>̈</w:t>
      </w:r>
      <w:r w:rsidRPr="009C352D">
        <w:rPr>
          <w:rFonts w:ascii="Myriad Pro" w:hAnsi="Myriad Pro"/>
          <w:i/>
          <w:sz w:val="24"/>
          <w:szCs w:val="24"/>
          <w:lang w:val="en-US"/>
        </w:rPr>
        <w:t xml:space="preserve">r Theodor </w:t>
      </w:r>
      <w:proofErr w:type="gramStart"/>
      <w:r w:rsidRPr="009C352D">
        <w:rPr>
          <w:rFonts w:ascii="Myriad Pro" w:hAnsi="Myriad Pro"/>
          <w:i/>
          <w:sz w:val="24"/>
          <w:szCs w:val="24"/>
          <w:lang w:val="en-US"/>
        </w:rPr>
        <w:t>Lenckner :</w:t>
      </w:r>
      <w:proofErr w:type="gramEnd"/>
      <w:r w:rsidRPr="009C352D">
        <w:rPr>
          <w:rFonts w:ascii="Myriad Pro" w:hAnsi="Myriad Pro"/>
          <w:i/>
          <w:sz w:val="24"/>
          <w:szCs w:val="24"/>
          <w:lang w:val="en-US"/>
        </w:rPr>
        <w:t xml:space="preserve"> zum 70. </w:t>
      </w:r>
      <w:proofErr w:type="gramStart"/>
      <w:r w:rsidRPr="009C352D">
        <w:rPr>
          <w:rFonts w:ascii="Myriad Pro" w:hAnsi="Myriad Pro"/>
          <w:i/>
          <w:sz w:val="24"/>
          <w:szCs w:val="24"/>
          <w:lang w:val="en-US"/>
        </w:rPr>
        <w:t>Geburtstag.</w:t>
      </w:r>
      <w:proofErr w:type="gramEnd"/>
      <w:r w:rsidRPr="009C352D">
        <w:rPr>
          <w:rFonts w:ascii="Myriad Pro" w:hAnsi="Myriad Pro"/>
          <w:i/>
          <w:sz w:val="24"/>
          <w:szCs w:val="24"/>
          <w:lang w:val="en-US"/>
        </w:rPr>
        <w:t xml:space="preserve"> </w:t>
      </w:r>
      <w:r w:rsidRPr="009C352D">
        <w:rPr>
          <w:rFonts w:ascii="Myriad Pro" w:hAnsi="Myriad Pro"/>
          <w:sz w:val="24"/>
          <w:szCs w:val="24"/>
          <w:lang w:val="en-US"/>
        </w:rPr>
        <w:t xml:space="preserve">Múnich: C. H. Beck, pp. 193-225. </w:t>
      </w:r>
    </w:p>
    <w:p w14:paraId="250395D9" w14:textId="77777777" w:rsidR="009C352D" w:rsidRPr="009C352D" w:rsidRDefault="009C352D" w:rsidP="004E104E">
      <w:pPr>
        <w:spacing w:before="180" w:after="180"/>
        <w:jc w:val="both"/>
        <w:rPr>
          <w:rFonts w:ascii="Myriad Pro" w:hAnsi="Myriad Pro"/>
          <w:sz w:val="24"/>
          <w:szCs w:val="24"/>
        </w:rPr>
      </w:pPr>
      <w:proofErr w:type="gramStart"/>
      <w:r w:rsidRPr="009C352D">
        <w:rPr>
          <w:rFonts w:ascii="Myriad Pro" w:hAnsi="Myriad Pro"/>
          <w:sz w:val="24"/>
          <w:szCs w:val="24"/>
          <w:lang w:val="en-US"/>
        </w:rPr>
        <w:t>Otto, H. (2001).</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Das Strafbarkeitsrisiko berufstypischen, geschäftsmäßigen Verhaltens.</w:t>
      </w:r>
      <w:proofErr w:type="gramEnd"/>
      <w:r w:rsidRPr="009C352D">
        <w:rPr>
          <w:rFonts w:ascii="Myriad Pro" w:hAnsi="Myriad Pro"/>
          <w:sz w:val="24"/>
          <w:szCs w:val="24"/>
          <w:lang w:val="en-US"/>
        </w:rPr>
        <w:t xml:space="preserve"> </w:t>
      </w:r>
      <w:r w:rsidRPr="009C352D">
        <w:rPr>
          <w:rFonts w:ascii="Myriad Pro" w:hAnsi="Myriad Pro"/>
          <w:i/>
          <w:sz w:val="24"/>
          <w:szCs w:val="24"/>
        </w:rPr>
        <w:t>JuristenZeitung, 56</w:t>
      </w:r>
      <w:r w:rsidRPr="009C352D">
        <w:rPr>
          <w:rFonts w:ascii="Myriad Pro" w:hAnsi="Myriad Pro"/>
          <w:sz w:val="24"/>
          <w:szCs w:val="24"/>
        </w:rPr>
        <w:t xml:space="preserve">(9), 436-444. Recuperado de </w:t>
      </w:r>
      <w:hyperlink r:id="rId38" w:history="1">
        <w:r w:rsidRPr="009C352D">
          <w:rPr>
            <w:rStyle w:val="Hipervnculo"/>
            <w:rFonts w:ascii="Myriad Pro" w:hAnsi="Myriad Pro"/>
            <w:color w:val="auto"/>
            <w:sz w:val="24"/>
            <w:szCs w:val="24"/>
            <w:u w:val="none"/>
          </w:rPr>
          <w:t>https://bit.ly/3eCjQ0x</w:t>
        </w:r>
      </w:hyperlink>
    </w:p>
    <w:p w14:paraId="15986AEB" w14:textId="77777777" w:rsidR="009C352D" w:rsidRPr="009F33BF" w:rsidRDefault="009C352D" w:rsidP="004E104E">
      <w:pPr>
        <w:spacing w:before="180" w:after="180"/>
        <w:jc w:val="both"/>
        <w:rPr>
          <w:rFonts w:ascii="Myriad Pro" w:hAnsi="Myriad Pro"/>
          <w:sz w:val="24"/>
          <w:szCs w:val="24"/>
          <w:lang w:val="en-US"/>
        </w:rPr>
      </w:pPr>
      <w:proofErr w:type="gramStart"/>
      <w:r w:rsidRPr="009F33BF">
        <w:rPr>
          <w:rFonts w:ascii="Myriad Pro" w:hAnsi="Myriad Pro"/>
          <w:sz w:val="24"/>
          <w:szCs w:val="24"/>
          <w:lang w:val="en-US"/>
        </w:rPr>
        <w:t>Otto, H. (2004).</w:t>
      </w:r>
      <w:proofErr w:type="gramEnd"/>
      <w:r w:rsidRPr="009F33BF">
        <w:rPr>
          <w:rFonts w:ascii="Myriad Pro" w:hAnsi="Myriad Pro"/>
          <w:sz w:val="24"/>
          <w:szCs w:val="24"/>
          <w:lang w:val="en-US"/>
        </w:rPr>
        <w:t xml:space="preserve"> </w:t>
      </w:r>
      <w:r w:rsidRPr="009F33BF">
        <w:rPr>
          <w:rFonts w:ascii="Myriad Pro" w:hAnsi="Myriad Pro"/>
          <w:i/>
          <w:sz w:val="24"/>
          <w:szCs w:val="24"/>
          <w:lang w:val="en-US"/>
        </w:rPr>
        <w:t>Grundkurs Strafrecht. Allgemeine Strafrechtslehre</w:t>
      </w:r>
      <w:r w:rsidRPr="009F33BF">
        <w:rPr>
          <w:rFonts w:ascii="Myriad Pro" w:hAnsi="Myriad Pro"/>
          <w:sz w:val="24"/>
          <w:szCs w:val="24"/>
          <w:lang w:val="en-US"/>
        </w:rPr>
        <w:t xml:space="preserve"> (7a </w:t>
      </w:r>
      <w:proofErr w:type="gramStart"/>
      <w:r w:rsidRPr="009F33BF">
        <w:rPr>
          <w:rFonts w:ascii="Myriad Pro" w:hAnsi="Myriad Pro"/>
          <w:sz w:val="24"/>
          <w:szCs w:val="24"/>
          <w:lang w:val="en-US"/>
        </w:rPr>
        <w:t>ed</w:t>
      </w:r>
      <w:proofErr w:type="gramEnd"/>
      <w:r w:rsidRPr="009F33BF">
        <w:rPr>
          <w:rFonts w:ascii="Myriad Pro" w:hAnsi="Myriad Pro"/>
          <w:sz w:val="24"/>
          <w:szCs w:val="24"/>
          <w:lang w:val="en-US"/>
        </w:rPr>
        <w:t xml:space="preserve">.). Berlín: De Gruyter. </w:t>
      </w:r>
      <w:proofErr w:type="gramStart"/>
      <w:r w:rsidRPr="009F33BF">
        <w:rPr>
          <w:rFonts w:ascii="Myriad Pro" w:hAnsi="Myriad Pro"/>
          <w:sz w:val="24"/>
          <w:szCs w:val="24"/>
          <w:lang w:val="en-US"/>
        </w:rPr>
        <w:t>doi</w:t>
      </w:r>
      <w:proofErr w:type="gramEnd"/>
      <w:r w:rsidRPr="009F33BF">
        <w:rPr>
          <w:rFonts w:ascii="Myriad Pro" w:hAnsi="Myriad Pro"/>
          <w:sz w:val="24"/>
          <w:szCs w:val="24"/>
          <w:lang w:val="en-US"/>
        </w:rPr>
        <w:t xml:space="preserve">: </w:t>
      </w:r>
      <w:hyperlink r:id="rId39" w:tgtFrame="_blank" w:history="1">
        <w:r w:rsidRPr="009F33BF">
          <w:rPr>
            <w:rStyle w:val="Hipervnculo"/>
            <w:rFonts w:ascii="Myriad Pro" w:eastAsiaTheme="majorEastAsia" w:hAnsi="Myriad Pro"/>
            <w:color w:val="auto"/>
            <w:sz w:val="24"/>
            <w:szCs w:val="24"/>
            <w:u w:val="none"/>
            <w:lang w:val="en-US"/>
          </w:rPr>
          <w:t>10.1515/9783110915686</w:t>
        </w:r>
      </w:hyperlink>
    </w:p>
    <w:p w14:paraId="134A7EFC" w14:textId="77777777" w:rsidR="009C352D" w:rsidRPr="009F33BF" w:rsidRDefault="009C352D" w:rsidP="004E104E">
      <w:pPr>
        <w:spacing w:before="180" w:after="180"/>
        <w:jc w:val="both"/>
        <w:rPr>
          <w:rFonts w:ascii="Myriad Pro" w:hAnsi="Myriad Pro"/>
          <w:sz w:val="24"/>
          <w:szCs w:val="24"/>
          <w:lang w:val="en-US"/>
        </w:rPr>
      </w:pPr>
      <w:proofErr w:type="gramStart"/>
      <w:r w:rsidRPr="009F33BF">
        <w:rPr>
          <w:rFonts w:ascii="Myriad Pro" w:hAnsi="Myriad Pro"/>
          <w:sz w:val="24"/>
          <w:szCs w:val="24"/>
          <w:lang w:val="en-US"/>
        </w:rPr>
        <w:t>Otto, H. (2008).</w:t>
      </w:r>
      <w:proofErr w:type="gramEnd"/>
      <w:r w:rsidRPr="009F33BF">
        <w:rPr>
          <w:rFonts w:ascii="Myriad Pro" w:hAnsi="Myriad Pro"/>
          <w:sz w:val="24"/>
          <w:szCs w:val="24"/>
          <w:lang w:val="en-US"/>
        </w:rPr>
        <w:t xml:space="preserve"> </w:t>
      </w:r>
      <w:proofErr w:type="gramStart"/>
      <w:r w:rsidRPr="009F33BF">
        <w:rPr>
          <w:rFonts w:ascii="Myriad Pro" w:hAnsi="Myriad Pro"/>
          <w:sz w:val="24"/>
          <w:szCs w:val="24"/>
          <w:lang w:val="en-US"/>
        </w:rPr>
        <w:t>Buchbesprechung.</w:t>
      </w:r>
      <w:proofErr w:type="gramEnd"/>
      <w:r w:rsidRPr="009F33BF">
        <w:rPr>
          <w:rFonts w:ascii="Myriad Pro" w:hAnsi="Myriad Pro"/>
          <w:sz w:val="24"/>
          <w:szCs w:val="24"/>
          <w:lang w:val="en-US"/>
        </w:rPr>
        <w:t xml:space="preserve"> </w:t>
      </w:r>
      <w:r w:rsidRPr="009F33BF">
        <w:rPr>
          <w:rFonts w:ascii="Myriad Pro" w:hAnsi="Myriad Pro"/>
          <w:i/>
          <w:sz w:val="24"/>
          <w:szCs w:val="24"/>
          <w:lang w:val="en-US"/>
        </w:rPr>
        <w:t>Zeitschrift für die gesamte Strafrechtswissenschaft, 120</w:t>
      </w:r>
      <w:r w:rsidRPr="009F33BF">
        <w:rPr>
          <w:rFonts w:ascii="Myriad Pro" w:hAnsi="Myriad Pro"/>
          <w:sz w:val="24"/>
          <w:szCs w:val="24"/>
          <w:lang w:val="en-US"/>
        </w:rPr>
        <w:t xml:space="preserve">(2), 418-425. </w:t>
      </w:r>
      <w:proofErr w:type="gramStart"/>
      <w:r w:rsidRPr="009F33BF">
        <w:rPr>
          <w:rFonts w:ascii="Myriad Pro" w:hAnsi="Myriad Pro"/>
          <w:sz w:val="24"/>
          <w:szCs w:val="24"/>
          <w:lang w:val="en-US"/>
        </w:rPr>
        <w:t>doi</w:t>
      </w:r>
      <w:proofErr w:type="gramEnd"/>
      <w:r w:rsidRPr="009F33BF">
        <w:rPr>
          <w:rFonts w:ascii="Myriad Pro" w:hAnsi="Myriad Pro"/>
          <w:sz w:val="24"/>
          <w:szCs w:val="24"/>
          <w:lang w:val="en-US"/>
        </w:rPr>
        <w:t xml:space="preserve">: </w:t>
      </w:r>
      <w:hyperlink r:id="rId40" w:tgtFrame="_blank" w:history="1">
        <w:r w:rsidRPr="009F33BF">
          <w:rPr>
            <w:rStyle w:val="Hipervnculo"/>
            <w:rFonts w:ascii="Myriad Pro" w:eastAsiaTheme="majorEastAsia" w:hAnsi="Myriad Pro"/>
            <w:color w:val="auto"/>
            <w:sz w:val="24"/>
            <w:szCs w:val="24"/>
            <w:u w:val="none"/>
            <w:lang w:val="en-US"/>
          </w:rPr>
          <w:t>10.1515/ZSTW.2008.418</w:t>
        </w:r>
      </w:hyperlink>
    </w:p>
    <w:p w14:paraId="2BF63335"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Philipowski, R. (1983). </w:t>
      </w:r>
      <w:proofErr w:type="gramStart"/>
      <w:r w:rsidRPr="009C352D">
        <w:rPr>
          <w:rFonts w:ascii="Myriad Pro" w:hAnsi="Myriad Pro"/>
          <w:sz w:val="24"/>
          <w:szCs w:val="24"/>
          <w:lang w:val="en-US"/>
        </w:rPr>
        <w:t>Steuerstrafrechtliche Probleme bei Bankgeschäften.</w:t>
      </w:r>
      <w:proofErr w:type="gramEnd"/>
      <w:r w:rsidRPr="009C352D">
        <w:rPr>
          <w:rFonts w:ascii="Myriad Pro" w:hAnsi="Myriad Pro"/>
          <w:sz w:val="24"/>
          <w:szCs w:val="24"/>
          <w:lang w:val="en-US"/>
        </w:rPr>
        <w:t xml:space="preserve"> En G. Kohlmann, (Ed.), </w:t>
      </w:r>
      <w:r w:rsidRPr="009C352D">
        <w:rPr>
          <w:rFonts w:ascii="Myriad Pro" w:hAnsi="Myriad Pro"/>
          <w:i/>
          <w:sz w:val="24"/>
          <w:szCs w:val="24"/>
          <w:lang w:val="en-US"/>
        </w:rPr>
        <w:t>Strafverfolgung und Strafverteidigung im Steuerstrafrecht: Grundfr</w:t>
      </w:r>
      <w:r w:rsidRPr="009C352D">
        <w:rPr>
          <w:rFonts w:ascii="Myriad Pro" w:hAnsi="Myriad Pro"/>
          <w:i/>
          <w:sz w:val="24"/>
          <w:szCs w:val="24"/>
          <w:lang w:val="en-US"/>
        </w:rPr>
        <w:t>a</w:t>
      </w:r>
      <w:r w:rsidRPr="009C352D">
        <w:rPr>
          <w:rFonts w:ascii="Myriad Pro" w:hAnsi="Myriad Pro"/>
          <w:i/>
          <w:sz w:val="24"/>
          <w:szCs w:val="24"/>
          <w:lang w:val="en-US"/>
        </w:rPr>
        <w:t>gen des Steuerstrafrechts heute (</w:t>
      </w:r>
      <w:r w:rsidRPr="009C352D">
        <w:rPr>
          <w:rFonts w:ascii="Myriad Pro" w:hAnsi="Myriad Pro"/>
          <w:sz w:val="24"/>
          <w:szCs w:val="24"/>
          <w:lang w:val="en-US"/>
        </w:rPr>
        <w:t xml:space="preserve">pp. 131-153). Köln: Otto Schmidt. </w:t>
      </w:r>
    </w:p>
    <w:p w14:paraId="1F1751CC"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Puppe, I. (1998). Die Lehre von der objektiven Zurechnung dargestellt </w:t>
      </w:r>
      <w:proofErr w:type="gramStart"/>
      <w:r w:rsidRPr="009C352D">
        <w:rPr>
          <w:rFonts w:ascii="Myriad Pro" w:hAnsi="Myriad Pro"/>
          <w:sz w:val="24"/>
          <w:szCs w:val="24"/>
          <w:lang w:val="en-US"/>
        </w:rPr>
        <w:t>an</w:t>
      </w:r>
      <w:proofErr w:type="gramEnd"/>
      <w:r w:rsidRPr="009C352D">
        <w:rPr>
          <w:rFonts w:ascii="Myriad Pro" w:hAnsi="Myriad Pro"/>
          <w:sz w:val="24"/>
          <w:szCs w:val="24"/>
          <w:lang w:val="en-US"/>
        </w:rPr>
        <w:t xml:space="preserve"> Beispielsfällen aus der höchstrichterlichen Rechtsprechung; IV. </w:t>
      </w:r>
      <w:proofErr w:type="gramStart"/>
      <w:r w:rsidRPr="009C352D">
        <w:rPr>
          <w:rFonts w:ascii="Myriad Pro" w:hAnsi="Myriad Pro"/>
          <w:sz w:val="24"/>
          <w:szCs w:val="24"/>
          <w:lang w:val="en-US"/>
        </w:rPr>
        <w:t>Zurechnung bei mehreren Beteiligten.</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Juristische Ausbildung</w:t>
      </w:r>
      <w:proofErr w:type="gramStart"/>
      <w:r w:rsidRPr="009C352D">
        <w:rPr>
          <w:rFonts w:ascii="Myriad Pro" w:hAnsi="Myriad Pro"/>
          <w:i/>
          <w:sz w:val="24"/>
          <w:szCs w:val="24"/>
          <w:lang w:val="en-US"/>
        </w:rPr>
        <w:t>,</w:t>
      </w:r>
      <w:r w:rsidRPr="009C352D">
        <w:rPr>
          <w:rFonts w:ascii="Myriad Pro" w:hAnsi="Myriad Pro"/>
          <w:sz w:val="24"/>
          <w:szCs w:val="24"/>
          <w:lang w:val="en-US"/>
        </w:rPr>
        <w:t xml:space="preserve">  1998</w:t>
      </w:r>
      <w:proofErr w:type="gramEnd"/>
      <w:r w:rsidRPr="009C352D">
        <w:rPr>
          <w:rFonts w:ascii="Myriad Pro" w:hAnsi="Myriad Pro"/>
          <w:sz w:val="24"/>
          <w:szCs w:val="24"/>
          <w:lang w:val="en-US"/>
        </w:rPr>
        <w:t>, 21-31.</w:t>
      </w:r>
    </w:p>
    <w:p w14:paraId="5CA9B4E8"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lastRenderedPageBreak/>
        <w:t xml:space="preserve">Puppe, I. (2017). Vorbemerkungen zu §§ 13 ff. En U. Kindhäuser, U. Neumann, y H. U. Paeffgen (Eds.), </w:t>
      </w:r>
      <w:r w:rsidRPr="009C352D">
        <w:rPr>
          <w:rFonts w:ascii="Myriad Pro" w:hAnsi="Myriad Pro"/>
          <w:i/>
          <w:sz w:val="24"/>
          <w:szCs w:val="24"/>
          <w:lang w:val="en-US"/>
        </w:rPr>
        <w:t>Strafgesetzbuch</w:t>
      </w:r>
      <w:r w:rsidRPr="009C352D">
        <w:rPr>
          <w:rFonts w:ascii="Myriad Pro" w:hAnsi="Myriad Pro"/>
          <w:sz w:val="24"/>
          <w:szCs w:val="24"/>
          <w:lang w:val="en-US"/>
        </w:rPr>
        <w:t xml:space="preserve"> (5a ed., Vol. 1, NomosKommentar, pp. 513-649). B</w:t>
      </w:r>
      <w:r w:rsidRPr="009C352D">
        <w:rPr>
          <w:rFonts w:ascii="Myriad Pro" w:hAnsi="Myriad Pro"/>
          <w:sz w:val="24"/>
          <w:szCs w:val="24"/>
          <w:lang w:val="en-US"/>
        </w:rPr>
        <w:t>a</w:t>
      </w:r>
      <w:r w:rsidRPr="009C352D">
        <w:rPr>
          <w:rFonts w:ascii="Myriad Pro" w:hAnsi="Myriad Pro"/>
          <w:sz w:val="24"/>
          <w:szCs w:val="24"/>
          <w:lang w:val="en-US"/>
        </w:rPr>
        <w:t>den-Baden: Nomos.</w:t>
      </w:r>
    </w:p>
    <w:p w14:paraId="758E1227"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Rackow, P. (2007). </w:t>
      </w:r>
      <w:r w:rsidRPr="009C352D">
        <w:rPr>
          <w:rFonts w:ascii="Myriad Pro" w:hAnsi="Myriad Pro"/>
          <w:i/>
          <w:sz w:val="24"/>
          <w:szCs w:val="24"/>
          <w:lang w:val="en-US"/>
        </w:rPr>
        <w:t xml:space="preserve">Neutrale Handlungen </w:t>
      </w:r>
      <w:proofErr w:type="gramStart"/>
      <w:r w:rsidRPr="009C352D">
        <w:rPr>
          <w:rFonts w:ascii="Myriad Pro" w:hAnsi="Myriad Pro"/>
          <w:i/>
          <w:sz w:val="24"/>
          <w:szCs w:val="24"/>
          <w:lang w:val="en-US"/>
        </w:rPr>
        <w:t>als</w:t>
      </w:r>
      <w:proofErr w:type="gramEnd"/>
      <w:r w:rsidRPr="009C352D">
        <w:rPr>
          <w:rFonts w:ascii="Myriad Pro" w:hAnsi="Myriad Pro"/>
          <w:i/>
          <w:sz w:val="24"/>
          <w:szCs w:val="24"/>
          <w:lang w:val="en-US"/>
        </w:rPr>
        <w:t xml:space="preserve"> Problem des Strafrechts</w:t>
      </w:r>
      <w:r w:rsidRPr="009C352D">
        <w:rPr>
          <w:rFonts w:ascii="Myriad Pro" w:hAnsi="Myriad Pro"/>
          <w:sz w:val="24"/>
          <w:szCs w:val="24"/>
          <w:lang w:val="en-US"/>
        </w:rPr>
        <w:t xml:space="preserve">. Frankfurt </w:t>
      </w:r>
      <w:proofErr w:type="gramStart"/>
      <w:r w:rsidRPr="009C352D">
        <w:rPr>
          <w:rFonts w:ascii="Myriad Pro" w:hAnsi="Myriad Pro"/>
          <w:sz w:val="24"/>
          <w:szCs w:val="24"/>
          <w:lang w:val="en-US"/>
        </w:rPr>
        <w:t>am</w:t>
      </w:r>
      <w:proofErr w:type="gramEnd"/>
      <w:r w:rsidRPr="009C352D">
        <w:rPr>
          <w:rFonts w:ascii="Myriad Pro" w:hAnsi="Myriad Pro"/>
          <w:sz w:val="24"/>
          <w:szCs w:val="24"/>
          <w:lang w:val="en-US"/>
        </w:rPr>
        <w:t xml:space="preserve"> Main: Peter Lang. </w:t>
      </w:r>
    </w:p>
    <w:p w14:paraId="665B5541"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Ransiek, A. (1997). </w:t>
      </w:r>
      <w:proofErr w:type="gramStart"/>
      <w:r w:rsidRPr="009C352D">
        <w:rPr>
          <w:rFonts w:ascii="Myriad Pro" w:hAnsi="Myriad Pro"/>
          <w:sz w:val="24"/>
          <w:szCs w:val="24"/>
          <w:lang w:val="en-US"/>
        </w:rPr>
        <w:t>Pflichtwidrigkeit und Beihilfeunrecht.</w:t>
      </w:r>
      <w:proofErr w:type="gramEnd"/>
      <w:r w:rsidRPr="009C352D">
        <w:rPr>
          <w:rFonts w:ascii="Myriad Pro" w:hAnsi="Myriad Pro"/>
          <w:sz w:val="24"/>
          <w:szCs w:val="24"/>
          <w:lang w:val="en-US"/>
        </w:rPr>
        <w:t xml:space="preserve"> </w:t>
      </w:r>
      <w:r w:rsidRPr="009C352D">
        <w:rPr>
          <w:rFonts w:ascii="Myriad Pro" w:hAnsi="Myriad Pro"/>
          <w:i/>
          <w:sz w:val="24"/>
          <w:szCs w:val="24"/>
          <w:lang w:val="en-US"/>
        </w:rPr>
        <w:t>Wistra (Heidelberg), 16</w:t>
      </w:r>
      <w:r w:rsidRPr="009C352D">
        <w:rPr>
          <w:rFonts w:ascii="Myriad Pro" w:hAnsi="Myriad Pro"/>
          <w:sz w:val="24"/>
          <w:szCs w:val="24"/>
          <w:lang w:val="en-US"/>
        </w:rPr>
        <w:t>(2), 41-47.</w:t>
      </w:r>
    </w:p>
    <w:p w14:paraId="58E29ED0" w14:textId="77777777" w:rsidR="009C352D" w:rsidRPr="00171A4E" w:rsidRDefault="009C352D" w:rsidP="004E104E">
      <w:pPr>
        <w:spacing w:before="180" w:after="180"/>
        <w:jc w:val="both"/>
        <w:rPr>
          <w:rFonts w:ascii="Myriad Pro" w:hAnsi="Myriad Pro"/>
          <w:sz w:val="24"/>
          <w:szCs w:val="24"/>
        </w:rPr>
      </w:pPr>
      <w:r w:rsidRPr="009C352D">
        <w:rPr>
          <w:rFonts w:ascii="Myriad Pro" w:hAnsi="Myriad Pro"/>
          <w:sz w:val="24"/>
          <w:szCs w:val="24"/>
          <w:lang w:val="en-US"/>
        </w:rPr>
        <w:t xml:space="preserve">Rengier, R. (2016). </w:t>
      </w:r>
      <w:r w:rsidRPr="009C352D">
        <w:rPr>
          <w:rFonts w:ascii="Myriad Pro" w:hAnsi="Myriad Pro"/>
          <w:i/>
          <w:sz w:val="24"/>
          <w:szCs w:val="24"/>
          <w:lang w:val="en-US"/>
        </w:rPr>
        <w:t>Strafrecht Allgemeiner Teil</w:t>
      </w:r>
      <w:r w:rsidRPr="009C352D">
        <w:rPr>
          <w:rFonts w:ascii="Myriad Pro" w:hAnsi="Myriad Pro"/>
          <w:sz w:val="24"/>
          <w:szCs w:val="24"/>
          <w:lang w:val="en-US"/>
        </w:rPr>
        <w:t xml:space="preserve"> (8a </w:t>
      </w:r>
      <w:proofErr w:type="gramStart"/>
      <w:r w:rsidRPr="009C352D">
        <w:rPr>
          <w:rFonts w:ascii="Myriad Pro" w:hAnsi="Myriad Pro"/>
          <w:sz w:val="24"/>
          <w:szCs w:val="24"/>
          <w:lang w:val="en-US"/>
        </w:rPr>
        <w:t>ed</w:t>
      </w:r>
      <w:proofErr w:type="gramEnd"/>
      <w:r w:rsidRPr="009C352D">
        <w:rPr>
          <w:rFonts w:ascii="Myriad Pro" w:hAnsi="Myriad Pro"/>
          <w:sz w:val="24"/>
          <w:szCs w:val="24"/>
          <w:lang w:val="en-US"/>
        </w:rPr>
        <w:t xml:space="preserve">). </w:t>
      </w:r>
      <w:r w:rsidRPr="00171A4E">
        <w:rPr>
          <w:rFonts w:ascii="Myriad Pro" w:hAnsi="Myriad Pro"/>
          <w:sz w:val="24"/>
          <w:szCs w:val="24"/>
        </w:rPr>
        <w:t xml:space="preserve">München: C. H. Beck. </w:t>
      </w:r>
    </w:p>
    <w:p w14:paraId="08F3899A" w14:textId="77777777" w:rsidR="009C352D" w:rsidRPr="009C352D" w:rsidRDefault="009C352D" w:rsidP="004E104E">
      <w:pPr>
        <w:spacing w:before="180" w:after="180"/>
        <w:jc w:val="both"/>
        <w:rPr>
          <w:rFonts w:ascii="Myriad Pro" w:hAnsi="Myriad Pro"/>
          <w:sz w:val="24"/>
          <w:szCs w:val="24"/>
        </w:rPr>
      </w:pPr>
      <w:r w:rsidRPr="00171A4E">
        <w:rPr>
          <w:rFonts w:ascii="Myriad Pro" w:hAnsi="Myriad Pro"/>
          <w:sz w:val="24"/>
          <w:szCs w:val="24"/>
        </w:rPr>
        <w:t xml:space="preserve">Robles Planas, R. (2003). </w:t>
      </w:r>
      <w:r w:rsidRPr="009C352D">
        <w:rPr>
          <w:rFonts w:ascii="Myriad Pro" w:hAnsi="Myriad Pro"/>
          <w:i/>
          <w:sz w:val="24"/>
          <w:szCs w:val="24"/>
          <w:lang w:val="es-ES_tradnl"/>
        </w:rPr>
        <w:t>La participación en el delito: fundamentos y límites</w:t>
      </w:r>
      <w:r w:rsidRPr="009C352D">
        <w:rPr>
          <w:rFonts w:ascii="Myriad Pro" w:hAnsi="Myriad Pro"/>
          <w:i/>
          <w:sz w:val="24"/>
          <w:szCs w:val="24"/>
          <w:lang w:val="es-ES"/>
        </w:rPr>
        <w:t>.</w:t>
      </w:r>
      <w:r w:rsidRPr="009C352D">
        <w:rPr>
          <w:rFonts w:ascii="Myriad Pro" w:hAnsi="Myriad Pro"/>
          <w:sz w:val="24"/>
          <w:szCs w:val="24"/>
          <w:lang w:val="es-ES"/>
        </w:rPr>
        <w:t xml:space="preserve"> </w:t>
      </w:r>
      <w:r w:rsidRPr="009C352D">
        <w:rPr>
          <w:rFonts w:ascii="Myriad Pro" w:hAnsi="Myriad Pro"/>
          <w:sz w:val="24"/>
          <w:szCs w:val="24"/>
        </w:rPr>
        <w:t>Madrid: Marcial Pons.</w:t>
      </w:r>
    </w:p>
    <w:p w14:paraId="01F28BFA" w14:textId="77777777" w:rsidR="009C352D" w:rsidRPr="009C352D" w:rsidRDefault="009C352D" w:rsidP="004E104E">
      <w:pPr>
        <w:pStyle w:val="Textonotapie"/>
        <w:spacing w:before="180" w:after="180" w:line="276" w:lineRule="auto"/>
        <w:jc w:val="both"/>
        <w:rPr>
          <w:rFonts w:ascii="Myriad Pro" w:hAnsi="Myriad Pro"/>
          <w:sz w:val="24"/>
          <w:szCs w:val="24"/>
        </w:rPr>
      </w:pPr>
      <w:r w:rsidRPr="009C352D">
        <w:rPr>
          <w:rFonts w:ascii="Myriad Pro" w:hAnsi="Myriad Pro"/>
          <w:sz w:val="24"/>
          <w:szCs w:val="24"/>
        </w:rPr>
        <w:t>Roca de Agapito</w:t>
      </w:r>
      <w:r w:rsidRPr="009C352D">
        <w:rPr>
          <w:rFonts w:ascii="Myriad Pro" w:hAnsi="Myriad Pro"/>
          <w:sz w:val="24"/>
          <w:szCs w:val="24"/>
          <w:lang w:val="es-ES"/>
        </w:rPr>
        <w:t>, L. (2008). Límites de la responsabilidad penal por actividad (prof</w:t>
      </w:r>
      <w:r w:rsidRPr="009C352D">
        <w:rPr>
          <w:rFonts w:ascii="Myriad Pro" w:hAnsi="Myriad Pro"/>
          <w:sz w:val="24"/>
          <w:szCs w:val="24"/>
          <w:lang w:val="es-ES"/>
        </w:rPr>
        <w:t>e</w:t>
      </w:r>
      <w:r w:rsidRPr="009C352D">
        <w:rPr>
          <w:rFonts w:ascii="Myriad Pro" w:hAnsi="Myriad Pro"/>
          <w:sz w:val="24"/>
          <w:szCs w:val="24"/>
          <w:lang w:val="es-ES"/>
        </w:rPr>
        <w:t xml:space="preserve">sional) cotidiana. </w:t>
      </w:r>
      <w:r w:rsidRPr="009C352D">
        <w:rPr>
          <w:rFonts w:ascii="Myriad Pro" w:hAnsi="Myriad Pro"/>
          <w:i/>
          <w:iCs/>
          <w:sz w:val="24"/>
          <w:szCs w:val="24"/>
        </w:rPr>
        <w:t>Estudios penales y criminológicos</w:t>
      </w:r>
      <w:r w:rsidRPr="009C352D">
        <w:rPr>
          <w:rFonts w:ascii="Myriad Pro" w:hAnsi="Myriad Pro"/>
          <w:i/>
          <w:sz w:val="24"/>
          <w:szCs w:val="24"/>
        </w:rPr>
        <w:t>,</w:t>
      </w:r>
      <w:r w:rsidRPr="009C352D">
        <w:rPr>
          <w:rFonts w:ascii="Myriad Pro" w:hAnsi="Myriad Pro"/>
          <w:sz w:val="24"/>
          <w:szCs w:val="24"/>
        </w:rPr>
        <w:t xml:space="preserve"> (28), 343-395. Recuperado de </w:t>
      </w:r>
      <w:hyperlink r:id="rId41" w:history="1">
        <w:r w:rsidRPr="009C352D">
          <w:rPr>
            <w:rStyle w:val="Hipervnculo"/>
            <w:rFonts w:ascii="Myriad Pro" w:hAnsi="Myriad Pro"/>
            <w:color w:val="auto"/>
            <w:sz w:val="24"/>
            <w:szCs w:val="24"/>
            <w:u w:val="none"/>
          </w:rPr>
          <w:t>https://bit.ly/3u40GHo</w:t>
        </w:r>
      </w:hyperlink>
    </w:p>
    <w:p w14:paraId="50F09DAE" w14:textId="77777777" w:rsidR="009C352D" w:rsidRPr="009C352D" w:rsidRDefault="009C352D" w:rsidP="004E104E">
      <w:pPr>
        <w:spacing w:before="180" w:after="180"/>
        <w:jc w:val="both"/>
        <w:rPr>
          <w:rFonts w:ascii="Myriad Pro" w:hAnsi="Myriad Pro"/>
          <w:sz w:val="24"/>
          <w:szCs w:val="24"/>
          <w:lang w:val="en-US"/>
        </w:rPr>
      </w:pPr>
      <w:r w:rsidRPr="009F33BF">
        <w:rPr>
          <w:rFonts w:ascii="Myriad Pro" w:hAnsi="Myriad Pro"/>
          <w:sz w:val="24"/>
          <w:szCs w:val="24"/>
          <w:lang w:val="en-US"/>
        </w:rPr>
        <w:t xml:space="preserve">Roxin, C. (1983). </w:t>
      </w:r>
      <w:proofErr w:type="gramStart"/>
      <w:r w:rsidRPr="009C352D">
        <w:rPr>
          <w:rFonts w:ascii="Myriad Pro" w:hAnsi="Myriad Pro"/>
          <w:sz w:val="24"/>
          <w:szCs w:val="24"/>
          <w:lang w:val="en-US"/>
        </w:rPr>
        <w:t>Bemerkungen zur sozialen Adäquanz im Strafrecht.</w:t>
      </w:r>
      <w:proofErr w:type="gramEnd"/>
      <w:r w:rsidRPr="009C352D">
        <w:rPr>
          <w:rFonts w:ascii="Myriad Pro" w:hAnsi="Myriad Pro"/>
          <w:sz w:val="24"/>
          <w:szCs w:val="24"/>
          <w:lang w:val="en-US"/>
        </w:rPr>
        <w:t xml:space="preserve"> En G. Kohlmann (Ed.), </w:t>
      </w:r>
      <w:r w:rsidRPr="009C352D">
        <w:rPr>
          <w:rFonts w:ascii="Myriad Pro" w:hAnsi="Myriad Pro"/>
          <w:i/>
          <w:sz w:val="24"/>
          <w:szCs w:val="24"/>
          <w:lang w:val="en-US"/>
        </w:rPr>
        <w:t xml:space="preserve">Festschrift für Ulrich Klug zum 70. </w:t>
      </w:r>
      <w:proofErr w:type="gramStart"/>
      <w:r w:rsidRPr="009C352D">
        <w:rPr>
          <w:rFonts w:ascii="Myriad Pro" w:hAnsi="Myriad Pro"/>
          <w:i/>
          <w:sz w:val="24"/>
          <w:szCs w:val="24"/>
          <w:lang w:val="en-US"/>
        </w:rPr>
        <w:t>Geburtstag</w:t>
      </w:r>
      <w:r w:rsidRPr="009C352D">
        <w:rPr>
          <w:rFonts w:ascii="Myriad Pro" w:hAnsi="Myriad Pro"/>
          <w:sz w:val="24"/>
          <w:szCs w:val="24"/>
          <w:lang w:val="en-US"/>
        </w:rPr>
        <w:t xml:space="preserve"> (Vol. 2, pp. 303-313).</w:t>
      </w:r>
      <w:proofErr w:type="gramEnd"/>
      <w:r w:rsidRPr="009C352D">
        <w:rPr>
          <w:rFonts w:ascii="Myriad Pro" w:hAnsi="Myriad Pro"/>
          <w:sz w:val="24"/>
          <w:szCs w:val="24"/>
          <w:lang w:val="en-US"/>
        </w:rPr>
        <w:t xml:space="preserve"> Köln: Dr. Peter Deubner.</w:t>
      </w:r>
    </w:p>
    <w:p w14:paraId="39DE0E54"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Roxin, C. (1989). </w:t>
      </w:r>
      <w:proofErr w:type="gramStart"/>
      <w:r w:rsidRPr="009C352D">
        <w:rPr>
          <w:rFonts w:ascii="Myriad Pro" w:hAnsi="Myriad Pro"/>
          <w:sz w:val="24"/>
          <w:szCs w:val="24"/>
          <w:lang w:val="en-US"/>
        </w:rPr>
        <w:t>Bemerkungen zum Regreßverbot.</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En H.-H.</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 xml:space="preserve">Jescheck y T. Vogler (Eds.), </w:t>
      </w:r>
      <w:r w:rsidRPr="009C352D">
        <w:rPr>
          <w:rFonts w:ascii="Myriad Pro" w:hAnsi="Myriad Pro"/>
          <w:i/>
          <w:sz w:val="24"/>
          <w:szCs w:val="24"/>
          <w:lang w:val="en-US"/>
        </w:rPr>
        <w:t>Festschrift für Herbert Tröndle zum 70.</w:t>
      </w:r>
      <w:proofErr w:type="gramEnd"/>
      <w:r w:rsidRPr="009C352D">
        <w:rPr>
          <w:rFonts w:ascii="Myriad Pro" w:hAnsi="Myriad Pro"/>
          <w:i/>
          <w:sz w:val="24"/>
          <w:szCs w:val="24"/>
          <w:lang w:val="en-US"/>
        </w:rPr>
        <w:t xml:space="preserve"> Geburtstag am 24. August 1989 </w:t>
      </w:r>
      <w:r w:rsidRPr="009C352D">
        <w:rPr>
          <w:rFonts w:ascii="Myriad Pro" w:hAnsi="Myriad Pro"/>
          <w:sz w:val="24"/>
          <w:szCs w:val="24"/>
          <w:lang w:val="en-US"/>
        </w:rPr>
        <w:t xml:space="preserve">(pp. 177-200). Berlin: De Gruyter.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42" w:history="1">
        <w:r w:rsidRPr="009C352D">
          <w:rPr>
            <w:rStyle w:val="Hipervnculo"/>
            <w:rFonts w:ascii="Myriad Pro" w:hAnsi="Myriad Pro"/>
            <w:color w:val="auto"/>
            <w:sz w:val="24"/>
            <w:szCs w:val="24"/>
            <w:u w:val="none"/>
            <w:lang w:val="en-US"/>
          </w:rPr>
          <w:t>10.1515/9783110892079-011</w:t>
        </w:r>
      </w:hyperlink>
    </w:p>
    <w:p w14:paraId="16D88F80"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Roxin, C. (1993a). Zum Strafgrund der Teilnahme. En F. Dencker, W. Küper, y J. Welp (Eds.), </w:t>
      </w:r>
      <w:r w:rsidRPr="009C352D">
        <w:rPr>
          <w:rFonts w:ascii="Myriad Pro" w:hAnsi="Myriad Pro"/>
          <w:i/>
          <w:sz w:val="24"/>
          <w:szCs w:val="24"/>
          <w:lang w:val="en-US"/>
        </w:rPr>
        <w:t>Beiträge zur Rechtswissenschaft: Festschrift für Walter Stree und Johannes Wessels zum 70. Geburtstag (</w:t>
      </w:r>
      <w:r w:rsidRPr="009C352D">
        <w:rPr>
          <w:rFonts w:ascii="Myriad Pro" w:hAnsi="Myriad Pro"/>
          <w:sz w:val="24"/>
          <w:szCs w:val="24"/>
          <w:lang w:val="en-US"/>
        </w:rPr>
        <w:t>pp. 365-382). Karlsruhe: C. F. Müller.</w:t>
      </w:r>
    </w:p>
    <w:p w14:paraId="0D05D2F5"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Roxin, C. (1993b). </w:t>
      </w:r>
      <w:r w:rsidRPr="009C352D">
        <w:rPr>
          <w:rFonts w:ascii="Myriad Pro" w:hAnsi="Myriad Pro"/>
          <w:i/>
          <w:iCs/>
          <w:sz w:val="24"/>
          <w:szCs w:val="24"/>
          <w:lang w:val="en-US"/>
        </w:rPr>
        <w:t>Strafgesetzbuch: Leipziger Kommentar: §§ 25-27</w:t>
      </w:r>
      <w:r w:rsidRPr="009C352D">
        <w:rPr>
          <w:rFonts w:ascii="Myriad Pro" w:hAnsi="Myriad Pro"/>
          <w:sz w:val="24"/>
          <w:szCs w:val="24"/>
          <w:lang w:val="en-US"/>
        </w:rPr>
        <w:t> (11a ed., Vol. 8, Großkommentare der Praxis) (B. Jähnke, H. W. Laufhütte, &amp; W. Odersky, Eds.). Berlin: W. de Gruyter.</w:t>
      </w:r>
    </w:p>
    <w:p w14:paraId="337AAFFC"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Roxin, C. (1995) “Was ist Beihilfe?</w:t>
      </w:r>
      <w:proofErr w:type="gramStart"/>
      <w:r w:rsidRPr="009C352D">
        <w:rPr>
          <w:rFonts w:ascii="Myriad Pro" w:hAnsi="Myriad Pro"/>
          <w:sz w:val="24"/>
          <w:szCs w:val="24"/>
          <w:lang w:val="en-US"/>
        </w:rPr>
        <w:t>”.</w:t>
      </w:r>
      <w:proofErr w:type="gramEnd"/>
      <w:r w:rsidRPr="009C352D">
        <w:rPr>
          <w:rFonts w:ascii="Myriad Pro" w:hAnsi="Myriad Pro"/>
          <w:sz w:val="24"/>
          <w:szCs w:val="24"/>
          <w:lang w:val="en-US"/>
        </w:rPr>
        <w:t xml:space="preserve"> En H. H. Kühne (Ed</w:t>
      </w:r>
      <w:r w:rsidRPr="009C352D">
        <w:rPr>
          <w:rFonts w:ascii="Myriad Pro" w:hAnsi="Myriad Pro"/>
          <w:i/>
          <w:sz w:val="24"/>
          <w:szCs w:val="24"/>
          <w:lang w:val="en-US"/>
        </w:rPr>
        <w:t>.), Festschrift für Koichi Miyazawa: dem Wegbereiter des japanisch-deutschen Strafrechtsdiskurses</w:t>
      </w:r>
      <w:r w:rsidRPr="009C352D">
        <w:rPr>
          <w:rFonts w:ascii="Myriad Pro" w:hAnsi="Myriad Pro"/>
          <w:sz w:val="24"/>
          <w:szCs w:val="24"/>
          <w:lang w:val="en-US"/>
        </w:rPr>
        <w:t xml:space="preserve"> (pp. 501-517). Baden-Baden: Nomos.</w:t>
      </w:r>
    </w:p>
    <w:p w14:paraId="04BE2C1E"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Roxin, C. (2003). </w:t>
      </w:r>
      <w:r w:rsidRPr="009C352D">
        <w:rPr>
          <w:rFonts w:ascii="Myriad Pro" w:hAnsi="Myriad Pro"/>
          <w:bCs/>
          <w:i/>
          <w:sz w:val="24"/>
          <w:szCs w:val="24"/>
          <w:lang w:val="en-US"/>
        </w:rPr>
        <w:t>Strafrecht Allgemeiner Teil: Besondere Erscheinungsformen der Straftat</w:t>
      </w:r>
      <w:r w:rsidRPr="009C352D">
        <w:rPr>
          <w:rFonts w:ascii="Myriad Pro" w:hAnsi="Myriad Pro"/>
          <w:bCs/>
          <w:sz w:val="24"/>
          <w:szCs w:val="24"/>
          <w:lang w:val="en-US"/>
        </w:rPr>
        <w:t xml:space="preserve"> (4a ed., Vol. 2). München: C. H. Beck. </w:t>
      </w:r>
    </w:p>
    <w:p w14:paraId="0EAF3F03" w14:textId="77777777" w:rsidR="009C352D" w:rsidRPr="009C352D" w:rsidRDefault="009C352D" w:rsidP="004E104E">
      <w:pPr>
        <w:spacing w:before="180" w:after="180"/>
        <w:jc w:val="both"/>
        <w:rPr>
          <w:rFonts w:ascii="Myriad Pro" w:hAnsi="Myriad Pro"/>
          <w:bCs/>
          <w:sz w:val="24"/>
          <w:szCs w:val="24"/>
        </w:rPr>
      </w:pPr>
      <w:r w:rsidRPr="009C352D">
        <w:rPr>
          <w:rFonts w:ascii="Myriad Pro" w:hAnsi="Myriad Pro"/>
          <w:sz w:val="24"/>
          <w:szCs w:val="24"/>
          <w:lang w:val="en-US"/>
        </w:rPr>
        <w:t xml:space="preserve">Roxin, C. (2006). </w:t>
      </w:r>
      <w:r w:rsidRPr="009C352D">
        <w:rPr>
          <w:rFonts w:ascii="Myriad Pro" w:hAnsi="Myriad Pro"/>
          <w:bCs/>
          <w:i/>
          <w:sz w:val="24"/>
          <w:szCs w:val="24"/>
          <w:lang w:val="en-US"/>
        </w:rPr>
        <w:t>Strafrecht Allgemeiner Teil: Grundlagen der Aufbau der Verbrechensle</w:t>
      </w:r>
      <w:r w:rsidRPr="009C352D">
        <w:rPr>
          <w:rFonts w:ascii="Myriad Pro" w:hAnsi="Myriad Pro"/>
          <w:bCs/>
          <w:i/>
          <w:sz w:val="24"/>
          <w:szCs w:val="24"/>
          <w:lang w:val="en-US"/>
        </w:rPr>
        <w:t>h</w:t>
      </w:r>
      <w:r w:rsidRPr="009C352D">
        <w:rPr>
          <w:rFonts w:ascii="Myriad Pro" w:hAnsi="Myriad Pro"/>
          <w:bCs/>
          <w:i/>
          <w:sz w:val="24"/>
          <w:szCs w:val="24"/>
          <w:lang w:val="en-US"/>
        </w:rPr>
        <w:t>re</w:t>
      </w:r>
      <w:r w:rsidRPr="009C352D">
        <w:rPr>
          <w:rFonts w:ascii="Myriad Pro" w:hAnsi="Myriad Pro"/>
          <w:bCs/>
          <w:sz w:val="24"/>
          <w:szCs w:val="24"/>
          <w:lang w:val="en-US"/>
        </w:rPr>
        <w:t xml:space="preserve"> (4a ed., Vol. 1). </w:t>
      </w:r>
      <w:r w:rsidRPr="009C352D">
        <w:rPr>
          <w:rFonts w:ascii="Myriad Pro" w:hAnsi="Myriad Pro"/>
          <w:bCs/>
          <w:sz w:val="24"/>
          <w:szCs w:val="24"/>
        </w:rPr>
        <w:t>München: C. H. Beck.</w:t>
      </w:r>
    </w:p>
    <w:p w14:paraId="74110DD5" w14:textId="77777777" w:rsidR="009C352D" w:rsidRPr="009C352D" w:rsidRDefault="009C352D" w:rsidP="004E104E">
      <w:pPr>
        <w:spacing w:before="180" w:after="180"/>
        <w:jc w:val="both"/>
        <w:rPr>
          <w:rFonts w:ascii="Myriad Pro" w:hAnsi="Myriad Pro"/>
          <w:bCs/>
          <w:sz w:val="24"/>
          <w:szCs w:val="24"/>
          <w:lang w:val="es-ES"/>
        </w:rPr>
      </w:pPr>
      <w:r w:rsidRPr="009C352D">
        <w:rPr>
          <w:rFonts w:ascii="Myriad Pro" w:hAnsi="Myriad Pro"/>
          <w:bCs/>
          <w:sz w:val="24"/>
          <w:szCs w:val="24"/>
          <w:lang w:val="es-ES"/>
        </w:rPr>
        <w:t xml:space="preserve">Roxin, C. (2006b). </w:t>
      </w:r>
      <w:r w:rsidRPr="009C352D">
        <w:rPr>
          <w:rFonts w:ascii="Myriad Pro" w:hAnsi="Myriad Pro"/>
          <w:bCs/>
          <w:i/>
          <w:sz w:val="24"/>
          <w:szCs w:val="24"/>
          <w:lang w:val="es-ES"/>
        </w:rPr>
        <w:t xml:space="preserve">Derecho penal, parte general: fundamentos. La estructura de la teoría del delito </w:t>
      </w:r>
      <w:r w:rsidRPr="009C352D">
        <w:rPr>
          <w:rFonts w:ascii="Myriad Pro" w:hAnsi="Myriad Pro"/>
          <w:bCs/>
          <w:sz w:val="24"/>
          <w:szCs w:val="24"/>
          <w:lang w:val="es-ES"/>
        </w:rPr>
        <w:t>(Vol. 1) (D. M. Luzón Peña, M. Díaz y García Conlledo, y J. De Vicente Rem</w:t>
      </w:r>
      <w:r w:rsidRPr="009C352D">
        <w:rPr>
          <w:rFonts w:ascii="Myriad Pro" w:hAnsi="Myriad Pro"/>
          <w:bCs/>
          <w:sz w:val="24"/>
          <w:szCs w:val="24"/>
          <w:lang w:val="es-ES"/>
        </w:rPr>
        <w:t>e</w:t>
      </w:r>
      <w:r w:rsidRPr="009C352D">
        <w:rPr>
          <w:rFonts w:ascii="Myriad Pro" w:hAnsi="Myriad Pro"/>
          <w:bCs/>
          <w:sz w:val="24"/>
          <w:szCs w:val="24"/>
          <w:lang w:val="es-ES"/>
        </w:rPr>
        <w:t>sal, Trads.). Madrid: Civitas.</w:t>
      </w:r>
    </w:p>
    <w:p w14:paraId="4D4CA9FA" w14:textId="77777777" w:rsidR="009C352D" w:rsidRPr="009C352D" w:rsidRDefault="009C352D" w:rsidP="004E104E">
      <w:pPr>
        <w:spacing w:before="180" w:after="180"/>
        <w:jc w:val="both"/>
        <w:rPr>
          <w:rFonts w:ascii="Myriad Pro" w:hAnsi="Myriad Pro"/>
          <w:sz w:val="24"/>
          <w:szCs w:val="24"/>
          <w:lang w:val="es-ES"/>
        </w:rPr>
      </w:pPr>
      <w:r w:rsidRPr="009C352D">
        <w:rPr>
          <w:rFonts w:ascii="Myriad Pro" w:hAnsi="Myriad Pro"/>
          <w:sz w:val="24"/>
          <w:szCs w:val="24"/>
        </w:rPr>
        <w:lastRenderedPageBreak/>
        <w:t>Rueda Martín</w:t>
      </w:r>
      <w:r w:rsidRPr="009C352D">
        <w:rPr>
          <w:rFonts w:ascii="Myriad Pro" w:hAnsi="Myriad Pro"/>
          <w:sz w:val="24"/>
          <w:szCs w:val="24"/>
          <w:lang w:val="es-ES"/>
        </w:rPr>
        <w:t>, M. Á. (2015). De nuevo sobre la relevancia penal de las acciones cot</w:t>
      </w:r>
      <w:r w:rsidRPr="009C352D">
        <w:rPr>
          <w:rFonts w:ascii="Myriad Pro" w:hAnsi="Myriad Pro"/>
          <w:sz w:val="24"/>
          <w:szCs w:val="24"/>
          <w:lang w:val="es-ES"/>
        </w:rPr>
        <w:t>i</w:t>
      </w:r>
      <w:r w:rsidRPr="009C352D">
        <w:rPr>
          <w:rFonts w:ascii="Myriad Pro" w:hAnsi="Myriad Pro"/>
          <w:sz w:val="24"/>
          <w:szCs w:val="24"/>
          <w:lang w:val="es-ES"/>
        </w:rPr>
        <w:t xml:space="preserve">dianas en la comisión de un hecho doloso. </w:t>
      </w:r>
      <w:r w:rsidRPr="009C352D">
        <w:rPr>
          <w:rFonts w:ascii="Myriad Pro" w:hAnsi="Myriad Pro"/>
          <w:i/>
          <w:iCs/>
          <w:sz w:val="24"/>
          <w:szCs w:val="24"/>
          <w:lang w:val="es-ES"/>
        </w:rPr>
        <w:t>Cuadernos de política criminal</w:t>
      </w:r>
      <w:r w:rsidRPr="009C352D">
        <w:rPr>
          <w:rFonts w:ascii="Myriad Pro" w:hAnsi="Myriad Pro"/>
          <w:sz w:val="24"/>
          <w:szCs w:val="24"/>
          <w:lang w:val="es-ES"/>
        </w:rPr>
        <w:t xml:space="preserve">, (115), 35-86. Recuperado de </w:t>
      </w:r>
      <w:hyperlink r:id="rId43" w:history="1">
        <w:r w:rsidRPr="009C352D">
          <w:rPr>
            <w:rStyle w:val="Hipervnculo"/>
            <w:rFonts w:ascii="Myriad Pro" w:hAnsi="Myriad Pro"/>
            <w:color w:val="auto"/>
            <w:sz w:val="24"/>
            <w:szCs w:val="24"/>
            <w:u w:val="none"/>
            <w:lang w:val="es-ES"/>
          </w:rPr>
          <w:t>https://bit.ly/3e360VP</w:t>
        </w:r>
      </w:hyperlink>
    </w:p>
    <w:p w14:paraId="1121B091" w14:textId="77777777" w:rsidR="009C352D" w:rsidRPr="009C352D" w:rsidRDefault="009C352D" w:rsidP="004E104E">
      <w:pPr>
        <w:spacing w:before="180" w:after="180"/>
        <w:jc w:val="both"/>
        <w:rPr>
          <w:rFonts w:ascii="Myriad Pro" w:hAnsi="Myriad Pro"/>
          <w:sz w:val="24"/>
          <w:szCs w:val="24"/>
          <w:lang w:val="en-US"/>
        </w:rPr>
      </w:pPr>
      <w:r w:rsidRPr="009F33BF">
        <w:rPr>
          <w:rFonts w:ascii="Myriad Pro" w:hAnsi="Myriad Pro"/>
          <w:sz w:val="24"/>
          <w:szCs w:val="24"/>
          <w:lang w:val="en-US"/>
        </w:rPr>
        <w:t xml:space="preserve">Schall, H. (2002). </w:t>
      </w:r>
      <w:proofErr w:type="gramStart"/>
      <w:r w:rsidRPr="009C352D">
        <w:rPr>
          <w:rFonts w:ascii="Myriad Pro" w:hAnsi="Myriad Pro"/>
          <w:sz w:val="24"/>
          <w:szCs w:val="24"/>
          <w:lang w:val="en-US"/>
        </w:rPr>
        <w:t>Strafloses Alltagsverhalten und strafbares Beihilfeunrecht.</w:t>
      </w:r>
      <w:proofErr w:type="gramEnd"/>
      <w:r w:rsidRPr="009C352D">
        <w:rPr>
          <w:rFonts w:ascii="Myriad Pro" w:hAnsi="Myriad Pro"/>
          <w:sz w:val="24"/>
          <w:szCs w:val="24"/>
          <w:lang w:val="en-US"/>
        </w:rPr>
        <w:t xml:space="preserve"> </w:t>
      </w:r>
      <w:proofErr w:type="gramStart"/>
      <w:r w:rsidRPr="009C352D">
        <w:rPr>
          <w:rFonts w:ascii="Myriad Pro" w:hAnsi="Myriad Pro"/>
          <w:sz w:val="24"/>
          <w:szCs w:val="24"/>
          <w:lang w:val="en-US"/>
        </w:rPr>
        <w:t xml:space="preserve">En E. Graul y G. Wolf, (Eds.), </w:t>
      </w:r>
      <w:r w:rsidRPr="009C352D">
        <w:rPr>
          <w:rFonts w:ascii="Myriad Pro" w:hAnsi="Myriad Pro"/>
          <w:i/>
          <w:sz w:val="24"/>
          <w:szCs w:val="24"/>
          <w:lang w:val="en-US"/>
        </w:rPr>
        <w:t>Gedächtnisschrift für Dieter Meurer</w:t>
      </w:r>
      <w:r w:rsidRPr="009C352D">
        <w:rPr>
          <w:rFonts w:ascii="Myriad Pro" w:hAnsi="Myriad Pro"/>
          <w:sz w:val="24"/>
          <w:szCs w:val="24"/>
          <w:lang w:val="en-US"/>
        </w:rPr>
        <w:t xml:space="preserve"> (pp. 103-122).</w:t>
      </w:r>
      <w:proofErr w:type="gramEnd"/>
      <w:r w:rsidRPr="009C352D">
        <w:rPr>
          <w:rFonts w:ascii="Myriad Pro" w:hAnsi="Myriad Pro"/>
          <w:sz w:val="24"/>
          <w:szCs w:val="24"/>
          <w:lang w:val="en-US"/>
        </w:rPr>
        <w:t xml:space="preserve"> Berlin: De Gruyter. </w:t>
      </w:r>
      <w:proofErr w:type="gramStart"/>
      <w:r w:rsidRPr="009C352D">
        <w:rPr>
          <w:rFonts w:ascii="Myriad Pro" w:hAnsi="Myriad Pro"/>
          <w:sz w:val="24"/>
          <w:szCs w:val="24"/>
          <w:lang w:val="en-US"/>
        </w:rPr>
        <w:t>doi</w:t>
      </w:r>
      <w:proofErr w:type="gramEnd"/>
      <w:r w:rsidRPr="009C352D">
        <w:rPr>
          <w:rFonts w:ascii="Myriad Pro" w:hAnsi="Myriad Pro"/>
          <w:sz w:val="24"/>
          <w:szCs w:val="24"/>
          <w:lang w:val="en-US"/>
        </w:rPr>
        <w:t xml:space="preserve">: </w:t>
      </w:r>
      <w:hyperlink r:id="rId44" w:tgtFrame="_blank" w:history="1">
        <w:r w:rsidRPr="009C352D">
          <w:rPr>
            <w:rStyle w:val="Hipervnculo"/>
            <w:rFonts w:ascii="Myriad Pro" w:eastAsiaTheme="majorEastAsia" w:hAnsi="Myriad Pro"/>
            <w:color w:val="auto"/>
            <w:sz w:val="24"/>
            <w:szCs w:val="24"/>
            <w:u w:val="none"/>
            <w:lang w:val="en-US"/>
          </w:rPr>
          <w:t>10.1515/9783110891522.103</w:t>
        </w:r>
      </w:hyperlink>
    </w:p>
    <w:p w14:paraId="547F6EDC"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Schild, W. (2017).</w:t>
      </w:r>
      <w:proofErr w:type="gramEnd"/>
      <w:r w:rsidRPr="009C352D">
        <w:rPr>
          <w:rFonts w:ascii="Myriad Pro" w:hAnsi="Myriad Pro"/>
          <w:sz w:val="24"/>
          <w:szCs w:val="24"/>
          <w:lang w:val="en-US"/>
        </w:rPr>
        <w:t xml:space="preserve"> § 27 Beihilfe. En U. Kindhäuser, U. Neumann, y H. U. Paeffgen (Eds.), </w:t>
      </w:r>
      <w:r w:rsidRPr="009C352D">
        <w:rPr>
          <w:rFonts w:ascii="Myriad Pro" w:hAnsi="Myriad Pro"/>
          <w:i/>
          <w:sz w:val="24"/>
          <w:szCs w:val="24"/>
          <w:lang w:val="en-US"/>
        </w:rPr>
        <w:t>Strafgesetzbuch</w:t>
      </w:r>
      <w:r w:rsidRPr="009C352D">
        <w:rPr>
          <w:rFonts w:ascii="Myriad Pro" w:hAnsi="Myriad Pro"/>
          <w:sz w:val="24"/>
          <w:szCs w:val="24"/>
          <w:lang w:val="en-US"/>
        </w:rPr>
        <w:t xml:space="preserve"> (5a ed., Vol. 1, NomosKommentar, pp. 1269-1278). Baden-Baden: Nomos.</w:t>
      </w:r>
    </w:p>
    <w:p w14:paraId="37CCD300" w14:textId="77777777" w:rsidR="009C352D" w:rsidRPr="009C352D" w:rsidRDefault="009C352D" w:rsidP="004E104E">
      <w:pPr>
        <w:spacing w:before="180" w:after="180"/>
        <w:jc w:val="both"/>
        <w:rPr>
          <w:rFonts w:ascii="Myriad Pro" w:hAnsi="Myriad Pro"/>
          <w:iCs/>
          <w:sz w:val="24"/>
          <w:szCs w:val="24"/>
          <w:lang w:val="en-US"/>
        </w:rPr>
      </w:pPr>
      <w:r w:rsidRPr="009C352D">
        <w:rPr>
          <w:rFonts w:ascii="Myriad Pro" w:hAnsi="Myriad Pro"/>
          <w:sz w:val="24"/>
          <w:szCs w:val="24"/>
          <w:lang w:val="en-US"/>
        </w:rPr>
        <w:t>Schumann</w:t>
      </w:r>
      <w:r w:rsidRPr="009C352D">
        <w:rPr>
          <w:rFonts w:ascii="Myriad Pro" w:hAnsi="Myriad Pro"/>
          <w:iCs/>
          <w:sz w:val="24"/>
          <w:szCs w:val="24"/>
          <w:lang w:val="en-US"/>
        </w:rPr>
        <w:t xml:space="preserve">, H. (1986). </w:t>
      </w:r>
      <w:proofErr w:type="gramStart"/>
      <w:r w:rsidRPr="009C352D">
        <w:rPr>
          <w:rFonts w:ascii="Myriad Pro" w:hAnsi="Myriad Pro"/>
          <w:i/>
          <w:iCs/>
          <w:sz w:val="24"/>
          <w:szCs w:val="24"/>
          <w:lang w:val="en-US"/>
        </w:rPr>
        <w:t>Strafrechtliches Handlungsunrecht und das Prinzip der Selbstverantwortung der Anderen.</w:t>
      </w:r>
      <w:proofErr w:type="gramEnd"/>
      <w:r w:rsidRPr="009C352D">
        <w:rPr>
          <w:rFonts w:ascii="Myriad Pro" w:hAnsi="Myriad Pro"/>
          <w:iCs/>
          <w:sz w:val="24"/>
          <w:szCs w:val="24"/>
          <w:lang w:val="en-US"/>
        </w:rPr>
        <w:t xml:space="preserve"> Tübingen: J.C.B. Mohr.</w:t>
      </w:r>
    </w:p>
    <w:p w14:paraId="47C7821D" w14:textId="77777777" w:rsidR="009C352D" w:rsidRPr="009C352D" w:rsidRDefault="009C352D" w:rsidP="004E104E">
      <w:pPr>
        <w:spacing w:before="180" w:after="180"/>
        <w:jc w:val="both"/>
        <w:rPr>
          <w:rFonts w:ascii="Myriad Pro" w:hAnsi="Myriad Pro"/>
          <w:sz w:val="24"/>
          <w:szCs w:val="24"/>
          <w:lang w:val="en-US"/>
        </w:rPr>
      </w:pPr>
      <w:r w:rsidRPr="009C352D">
        <w:rPr>
          <w:rFonts w:ascii="Myriad Pro" w:hAnsi="Myriad Pro"/>
          <w:sz w:val="24"/>
          <w:szCs w:val="24"/>
          <w:lang w:val="en-US"/>
        </w:rPr>
        <w:t xml:space="preserve">Schünemann, B. (2007). § 27 Beihilfe. En H. W. Laufhütte, R. Rissing-van Saan, y K. Tiedemann, </w:t>
      </w:r>
      <w:r w:rsidRPr="009C352D">
        <w:rPr>
          <w:rFonts w:ascii="Myriad Pro" w:hAnsi="Myriad Pro"/>
          <w:i/>
          <w:sz w:val="24"/>
          <w:szCs w:val="24"/>
          <w:lang w:val="en-US"/>
        </w:rPr>
        <w:t>Leipziger Kommentar zum Strafgesetzbuch</w:t>
      </w:r>
      <w:r w:rsidRPr="009C352D">
        <w:rPr>
          <w:rFonts w:ascii="Myriad Pro" w:hAnsi="Myriad Pro"/>
          <w:sz w:val="24"/>
          <w:szCs w:val="24"/>
          <w:lang w:val="en-US"/>
        </w:rPr>
        <w:t xml:space="preserve"> (12a ed., Vol. 1, pp. 2027-2063). Berlin: De Gruyter. </w:t>
      </w:r>
    </w:p>
    <w:p w14:paraId="4BD76794" w14:textId="77777777" w:rsidR="009C352D" w:rsidRPr="009C352D" w:rsidRDefault="009C352D" w:rsidP="004E104E">
      <w:pPr>
        <w:spacing w:before="180" w:after="180"/>
        <w:jc w:val="both"/>
        <w:rPr>
          <w:rFonts w:ascii="Myriad Pro" w:hAnsi="Myriad Pro"/>
          <w:bCs/>
          <w:sz w:val="24"/>
          <w:szCs w:val="24"/>
        </w:rPr>
      </w:pPr>
      <w:r w:rsidRPr="009C352D">
        <w:rPr>
          <w:rFonts w:ascii="Myriad Pro" w:hAnsi="Myriad Pro"/>
          <w:sz w:val="24"/>
          <w:szCs w:val="24"/>
          <w:lang w:val="en-US"/>
        </w:rPr>
        <w:t xml:space="preserve">Schünemann, B. (2012). </w:t>
      </w:r>
      <w:r w:rsidRPr="009C352D">
        <w:rPr>
          <w:rFonts w:ascii="Myriad Pro" w:hAnsi="Myriad Pro"/>
          <w:bCs/>
          <w:sz w:val="24"/>
          <w:szCs w:val="24"/>
          <w:lang w:val="en-US"/>
        </w:rPr>
        <w:t>Standpunkte der deutschen Strafrechtslehrer zu den Zuku</w:t>
      </w:r>
      <w:r w:rsidRPr="009C352D">
        <w:rPr>
          <w:rFonts w:ascii="Myriad Pro" w:hAnsi="Myriad Pro"/>
          <w:bCs/>
          <w:sz w:val="24"/>
          <w:szCs w:val="24"/>
          <w:lang w:val="en-US"/>
        </w:rPr>
        <w:t>n</w:t>
      </w:r>
      <w:r w:rsidRPr="009C352D">
        <w:rPr>
          <w:rFonts w:ascii="Myriad Pro" w:hAnsi="Myriad Pro"/>
          <w:bCs/>
          <w:sz w:val="24"/>
          <w:szCs w:val="24"/>
          <w:lang w:val="en-US"/>
        </w:rPr>
        <w:t>ftsperspektiven der Rechtswissenschaft und der akademischen juristischen Ausbil</w:t>
      </w:r>
      <w:r w:rsidRPr="009C352D">
        <w:rPr>
          <w:rFonts w:ascii="Myriad Pro" w:hAnsi="Myriad Pro"/>
          <w:bCs/>
          <w:sz w:val="24"/>
          <w:szCs w:val="24"/>
          <w:lang w:val="en-US"/>
        </w:rPr>
        <w:t>d</w:t>
      </w:r>
      <w:r w:rsidRPr="009C352D">
        <w:rPr>
          <w:rFonts w:ascii="Myriad Pro" w:hAnsi="Myriad Pro"/>
          <w:bCs/>
          <w:sz w:val="24"/>
          <w:szCs w:val="24"/>
          <w:lang w:val="en-US"/>
        </w:rPr>
        <w:t xml:space="preserve">ung in Deutschland. </w:t>
      </w:r>
      <w:r w:rsidRPr="009C352D">
        <w:rPr>
          <w:rFonts w:ascii="Myriad Pro" w:hAnsi="Myriad Pro"/>
          <w:bCs/>
          <w:i/>
          <w:sz w:val="24"/>
          <w:szCs w:val="24"/>
        </w:rPr>
        <w:t>Zeitschrift für internationale Strafrechtsdogmatik</w:t>
      </w:r>
      <w:r w:rsidRPr="009C352D">
        <w:rPr>
          <w:rFonts w:ascii="Myriad Pro" w:hAnsi="Myriad Pro"/>
          <w:bCs/>
          <w:sz w:val="24"/>
          <w:szCs w:val="24"/>
        </w:rPr>
        <w:t xml:space="preserve">, (6), 302-311. Recuperado de </w:t>
      </w:r>
      <w:hyperlink r:id="rId45" w:history="1">
        <w:r w:rsidRPr="009C352D">
          <w:rPr>
            <w:rStyle w:val="Hipervnculo"/>
            <w:rFonts w:ascii="Myriad Pro" w:hAnsi="Myriad Pro"/>
            <w:bCs/>
            <w:color w:val="auto"/>
            <w:sz w:val="24"/>
            <w:szCs w:val="24"/>
            <w:u w:val="none"/>
          </w:rPr>
          <w:t>https://bit.ly/3eI17Rs</w:t>
        </w:r>
      </w:hyperlink>
    </w:p>
    <w:p w14:paraId="21AD78D3" w14:textId="77777777" w:rsidR="009C352D" w:rsidRPr="009C352D" w:rsidRDefault="009C352D" w:rsidP="004E104E">
      <w:pPr>
        <w:spacing w:before="180" w:after="180"/>
        <w:jc w:val="both"/>
        <w:rPr>
          <w:rFonts w:ascii="Myriad Pro" w:hAnsi="Myriad Pro"/>
          <w:bCs/>
          <w:sz w:val="24"/>
          <w:szCs w:val="24"/>
          <w:lang w:val="de-DE"/>
        </w:rPr>
      </w:pPr>
      <w:r w:rsidRPr="009C352D">
        <w:rPr>
          <w:rFonts w:ascii="Myriad Pro" w:hAnsi="Myriad Pro"/>
          <w:sz w:val="24"/>
          <w:szCs w:val="24"/>
        </w:rPr>
        <w:t>Schurmann Opazo,</w:t>
      </w:r>
      <w:r w:rsidRPr="009C352D">
        <w:rPr>
          <w:rFonts w:ascii="Myriad Pro" w:hAnsi="Myriad Pro"/>
          <w:bCs/>
          <w:sz w:val="24"/>
          <w:szCs w:val="24"/>
        </w:rPr>
        <w:t xml:space="preserve"> M. (2019). ¿Es científico el discurso elaborado por la dogmática jurídica?: una defensa de la pretensión de racionalidad del discurso dogmático elab</w:t>
      </w:r>
      <w:r w:rsidRPr="009C352D">
        <w:rPr>
          <w:rFonts w:ascii="Myriad Pro" w:hAnsi="Myriad Pro"/>
          <w:bCs/>
          <w:sz w:val="24"/>
          <w:szCs w:val="24"/>
        </w:rPr>
        <w:t>o</w:t>
      </w:r>
      <w:r w:rsidRPr="009C352D">
        <w:rPr>
          <w:rFonts w:ascii="Myriad Pro" w:hAnsi="Myriad Pro"/>
          <w:bCs/>
          <w:sz w:val="24"/>
          <w:szCs w:val="24"/>
        </w:rPr>
        <w:t xml:space="preserve">rado por la ciencia del derecho penal. </w:t>
      </w:r>
      <w:r w:rsidRPr="009C352D">
        <w:rPr>
          <w:rFonts w:ascii="Myriad Pro" w:hAnsi="Myriad Pro"/>
          <w:bCs/>
          <w:i/>
          <w:sz w:val="24"/>
          <w:szCs w:val="24"/>
        </w:rPr>
        <w:t>Política criminal, 14</w:t>
      </w:r>
      <w:r w:rsidRPr="009C352D">
        <w:rPr>
          <w:rFonts w:ascii="Myriad Pro" w:hAnsi="Myriad Pro"/>
          <w:bCs/>
          <w:sz w:val="24"/>
          <w:szCs w:val="24"/>
        </w:rPr>
        <w:t xml:space="preserve">(27), 549-598. </w:t>
      </w:r>
      <w:proofErr w:type="gramStart"/>
      <w:r w:rsidRPr="009C352D">
        <w:rPr>
          <w:rFonts w:ascii="Myriad Pro" w:hAnsi="Myriad Pro"/>
          <w:bCs/>
          <w:sz w:val="24"/>
          <w:szCs w:val="24"/>
        </w:rPr>
        <w:t>doi</w:t>
      </w:r>
      <w:proofErr w:type="gramEnd"/>
      <w:r w:rsidRPr="009C352D">
        <w:rPr>
          <w:rFonts w:ascii="Myriad Pro" w:hAnsi="Myriad Pro"/>
          <w:bCs/>
          <w:sz w:val="24"/>
          <w:szCs w:val="24"/>
        </w:rPr>
        <w:t xml:space="preserve">: </w:t>
      </w:r>
      <w:hyperlink r:id="rId46" w:history="1">
        <w:r w:rsidRPr="009C352D">
          <w:rPr>
            <w:rStyle w:val="Hipervnculo"/>
            <w:rFonts w:ascii="Myriad Pro" w:hAnsi="Myriad Pro"/>
            <w:bCs/>
            <w:color w:val="auto"/>
            <w:sz w:val="24"/>
            <w:szCs w:val="24"/>
            <w:u w:val="none"/>
          </w:rPr>
          <w:t>10.4067/S0718-33992019000100549</w:t>
        </w:r>
      </w:hyperlink>
    </w:p>
    <w:p w14:paraId="17010B40" w14:textId="77777777" w:rsidR="009C352D" w:rsidRPr="009C352D" w:rsidRDefault="009C352D" w:rsidP="004E104E">
      <w:pPr>
        <w:spacing w:before="180" w:after="180"/>
        <w:jc w:val="both"/>
        <w:rPr>
          <w:rFonts w:ascii="Myriad Pro" w:hAnsi="Myriad Pro"/>
          <w:bCs/>
          <w:sz w:val="24"/>
          <w:szCs w:val="24"/>
          <w:lang w:val="de-DE"/>
        </w:rPr>
      </w:pPr>
      <w:r w:rsidRPr="009C352D">
        <w:rPr>
          <w:rFonts w:ascii="Myriad Pro" w:hAnsi="Myriad Pro"/>
          <w:sz w:val="24"/>
          <w:szCs w:val="24"/>
        </w:rPr>
        <w:t>Schurmann Opazo,</w:t>
      </w:r>
      <w:r w:rsidRPr="009C352D">
        <w:rPr>
          <w:rFonts w:ascii="Myriad Pro" w:hAnsi="Myriad Pro"/>
          <w:bCs/>
          <w:sz w:val="24"/>
          <w:szCs w:val="24"/>
        </w:rPr>
        <w:t xml:space="preserve"> M. </w:t>
      </w:r>
      <w:r w:rsidRPr="009C352D">
        <w:rPr>
          <w:rFonts w:ascii="Myriad Pro" w:hAnsi="Myriad Pro"/>
          <w:sz w:val="24"/>
          <w:szCs w:val="24"/>
        </w:rPr>
        <w:t xml:space="preserve">(2020). </w:t>
      </w:r>
      <w:r w:rsidRPr="009C352D">
        <w:rPr>
          <w:rFonts w:ascii="Myriad Pro" w:hAnsi="Myriad Pro"/>
          <w:sz w:val="24"/>
          <w:szCs w:val="24"/>
          <w:lang w:val="es-ES_tradnl"/>
        </w:rPr>
        <w:t>Una aproximación crítica a la denominación de acci</w:t>
      </w:r>
      <w:r w:rsidRPr="009C352D">
        <w:rPr>
          <w:rFonts w:ascii="Myriad Pro" w:hAnsi="Myriad Pro"/>
          <w:sz w:val="24"/>
          <w:szCs w:val="24"/>
          <w:lang w:val="es-ES_tradnl"/>
        </w:rPr>
        <w:t>o</w:t>
      </w:r>
      <w:r w:rsidRPr="009C352D">
        <w:rPr>
          <w:rFonts w:ascii="Myriad Pro" w:hAnsi="Myriad Pro"/>
          <w:sz w:val="24"/>
          <w:szCs w:val="24"/>
          <w:lang w:val="es-ES_tradnl"/>
        </w:rPr>
        <w:t xml:space="preserve">nes de colaboración como neutrales. </w:t>
      </w:r>
      <w:r w:rsidRPr="009C352D">
        <w:rPr>
          <w:rFonts w:ascii="Myriad Pro" w:hAnsi="Myriad Pro"/>
          <w:i/>
          <w:sz w:val="24"/>
          <w:szCs w:val="24"/>
          <w:lang w:val="es-ES_tradnl"/>
        </w:rPr>
        <w:t>Revista chilena de derecho, 47</w:t>
      </w:r>
      <w:r w:rsidRPr="009C352D">
        <w:rPr>
          <w:rFonts w:ascii="Myriad Pro" w:hAnsi="Myriad Pro"/>
          <w:sz w:val="24"/>
          <w:szCs w:val="24"/>
          <w:lang w:val="es-ES_tradnl"/>
        </w:rPr>
        <w:t>(</w:t>
      </w:r>
      <w:r w:rsidRPr="009C352D">
        <w:rPr>
          <w:rFonts w:ascii="Myriad Pro" w:hAnsi="Myriad Pro"/>
          <w:bCs/>
          <w:sz w:val="24"/>
          <w:szCs w:val="24"/>
        </w:rPr>
        <w:t xml:space="preserve">1), 261-283. </w:t>
      </w:r>
      <w:proofErr w:type="gramStart"/>
      <w:r w:rsidRPr="009C352D">
        <w:rPr>
          <w:rFonts w:ascii="Myriad Pro" w:hAnsi="Myriad Pro"/>
          <w:bCs/>
          <w:sz w:val="24"/>
          <w:szCs w:val="24"/>
        </w:rPr>
        <w:t>doi</w:t>
      </w:r>
      <w:proofErr w:type="gramEnd"/>
      <w:r w:rsidRPr="009C352D">
        <w:rPr>
          <w:rFonts w:ascii="Myriad Pro" w:hAnsi="Myriad Pro"/>
          <w:bCs/>
          <w:sz w:val="24"/>
          <w:szCs w:val="24"/>
        </w:rPr>
        <w:t xml:space="preserve">: </w:t>
      </w:r>
      <w:hyperlink r:id="rId47" w:history="1">
        <w:r w:rsidRPr="009C352D">
          <w:rPr>
            <w:rStyle w:val="Hipervnculo"/>
            <w:rFonts w:ascii="Myriad Pro" w:hAnsi="Myriad Pro"/>
            <w:bCs/>
            <w:color w:val="auto"/>
            <w:sz w:val="24"/>
            <w:szCs w:val="24"/>
            <w:u w:val="none"/>
          </w:rPr>
          <w:t>10.4067/S0718-34372020000100261</w:t>
        </w:r>
      </w:hyperlink>
    </w:p>
    <w:p w14:paraId="1E194C80"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 xml:space="preserve">Searle, J. R. (1997). </w:t>
      </w:r>
      <w:r w:rsidRPr="009C352D">
        <w:rPr>
          <w:rFonts w:ascii="Myriad Pro" w:hAnsi="Myriad Pro"/>
          <w:i/>
          <w:sz w:val="24"/>
          <w:szCs w:val="24"/>
          <w:lang w:val="es-ES_tradnl"/>
        </w:rPr>
        <w:t>La construcción de la realidad social</w:t>
      </w:r>
      <w:r w:rsidRPr="009C352D">
        <w:rPr>
          <w:rFonts w:ascii="Myriad Pro" w:hAnsi="Myriad Pro"/>
          <w:sz w:val="24"/>
          <w:szCs w:val="24"/>
          <w:lang w:val="es-ES_tradnl"/>
        </w:rPr>
        <w:t xml:space="preserve"> (</w:t>
      </w:r>
      <w:r w:rsidRPr="009C352D">
        <w:rPr>
          <w:rFonts w:ascii="Myriad Pro" w:hAnsi="Myriad Pro"/>
          <w:sz w:val="24"/>
          <w:szCs w:val="24"/>
          <w:lang w:val="es-ES"/>
        </w:rPr>
        <w:t xml:space="preserve">A. Domènech, Trad.). </w:t>
      </w:r>
      <w:r w:rsidRPr="009C352D">
        <w:rPr>
          <w:rFonts w:ascii="Myriad Pro" w:hAnsi="Myriad Pro"/>
          <w:sz w:val="24"/>
          <w:szCs w:val="24"/>
        </w:rPr>
        <w:t>Barcel</w:t>
      </w:r>
      <w:r w:rsidRPr="009C352D">
        <w:rPr>
          <w:rFonts w:ascii="Myriad Pro" w:hAnsi="Myriad Pro"/>
          <w:sz w:val="24"/>
          <w:szCs w:val="24"/>
        </w:rPr>
        <w:t>o</w:t>
      </w:r>
      <w:r w:rsidRPr="009C352D">
        <w:rPr>
          <w:rFonts w:ascii="Myriad Pro" w:hAnsi="Myriad Pro"/>
          <w:sz w:val="24"/>
          <w:szCs w:val="24"/>
        </w:rPr>
        <w:t>na: Paidós.</w:t>
      </w:r>
    </w:p>
    <w:p w14:paraId="4B989175"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lang w:val="es-ES"/>
        </w:rPr>
        <w:t xml:space="preserve">Seher, G. (2009). Grundfälle zur Beihilfe. </w:t>
      </w:r>
      <w:r w:rsidRPr="009C352D">
        <w:rPr>
          <w:rFonts w:ascii="Myriad Pro" w:hAnsi="Myriad Pro"/>
          <w:i/>
          <w:sz w:val="24"/>
          <w:szCs w:val="24"/>
        </w:rPr>
        <w:t>JuS,</w:t>
      </w:r>
      <w:r w:rsidRPr="009C352D">
        <w:rPr>
          <w:rFonts w:ascii="Myriad Pro" w:hAnsi="Myriad Pro"/>
          <w:sz w:val="24"/>
          <w:szCs w:val="24"/>
        </w:rPr>
        <w:t xml:space="preserve"> (9), 793-797.</w:t>
      </w:r>
    </w:p>
    <w:p w14:paraId="37110FDE" w14:textId="77777777" w:rsidR="009C352D" w:rsidRPr="009C352D" w:rsidRDefault="009C352D" w:rsidP="004E104E">
      <w:pPr>
        <w:spacing w:before="180" w:after="180"/>
        <w:jc w:val="both"/>
        <w:rPr>
          <w:rFonts w:ascii="Myriad Pro" w:hAnsi="Myriad Pro"/>
          <w:sz w:val="24"/>
          <w:szCs w:val="24"/>
          <w:lang w:val="en-US"/>
        </w:rPr>
      </w:pPr>
      <w:r w:rsidRPr="009F33BF">
        <w:rPr>
          <w:rFonts w:ascii="Myriad Pro" w:hAnsi="Myriad Pro"/>
          <w:sz w:val="24"/>
          <w:szCs w:val="24"/>
          <w:lang w:val="en-US"/>
        </w:rPr>
        <w:t xml:space="preserve">Silva Sánchez, J. M. (2008), Zur Beteiligung von Notaren </w:t>
      </w:r>
      <w:proofErr w:type="gramStart"/>
      <w:r w:rsidRPr="009F33BF">
        <w:rPr>
          <w:rFonts w:ascii="Myriad Pro" w:hAnsi="Myriad Pro"/>
          <w:sz w:val="24"/>
          <w:szCs w:val="24"/>
          <w:lang w:val="en-US"/>
        </w:rPr>
        <w:t>an</w:t>
      </w:r>
      <w:proofErr w:type="gramEnd"/>
      <w:r w:rsidRPr="009F33BF">
        <w:rPr>
          <w:rFonts w:ascii="Myriad Pro" w:hAnsi="Myriad Pro"/>
          <w:sz w:val="24"/>
          <w:szCs w:val="24"/>
          <w:lang w:val="en-US"/>
        </w:rPr>
        <w:t xml:space="preserve"> Vermögens und Wirtschaftsstraftaten. En U. Sieber, G. Dannecker, U. Kindhäuser,J. Vogel, y T. Walter (Eds), </w:t>
      </w:r>
      <w:r w:rsidRPr="009F33BF">
        <w:rPr>
          <w:rFonts w:ascii="Myriad Pro" w:hAnsi="Myriad Pro"/>
          <w:i/>
          <w:sz w:val="24"/>
          <w:szCs w:val="24"/>
          <w:lang w:val="en-US"/>
        </w:rPr>
        <w:t xml:space="preserve">Strafrecht und Wirtschaftsstrafrecht: Dogmatik, Rechtsvergleich, Rechtstatsachen; Festschrift für Klaus Tiedemann zum 70. </w:t>
      </w:r>
      <w:r w:rsidRPr="009C352D">
        <w:rPr>
          <w:rFonts w:ascii="Myriad Pro" w:hAnsi="Myriad Pro"/>
          <w:i/>
          <w:sz w:val="24"/>
          <w:szCs w:val="24"/>
          <w:lang w:val="en-US"/>
        </w:rPr>
        <w:t>Geburtstag</w:t>
      </w:r>
      <w:r w:rsidRPr="009C352D">
        <w:rPr>
          <w:rFonts w:ascii="Myriad Pro" w:hAnsi="Myriad Pro"/>
          <w:sz w:val="24"/>
          <w:szCs w:val="24"/>
          <w:lang w:val="en-US"/>
        </w:rPr>
        <w:t xml:space="preserve"> (pp. 237-252). Köln: Carl Heymanns.</w:t>
      </w:r>
    </w:p>
    <w:p w14:paraId="249A93BD" w14:textId="77777777" w:rsidR="009C352D" w:rsidRPr="009C352D" w:rsidRDefault="009C352D" w:rsidP="004E104E">
      <w:pPr>
        <w:spacing w:before="180" w:after="180"/>
        <w:jc w:val="both"/>
        <w:rPr>
          <w:rFonts w:ascii="Myriad Pro" w:hAnsi="Myriad Pro"/>
          <w:sz w:val="24"/>
          <w:szCs w:val="24"/>
          <w:lang w:val="es-ES"/>
        </w:rPr>
      </w:pPr>
      <w:r w:rsidRPr="009C352D">
        <w:rPr>
          <w:rFonts w:ascii="Myriad Pro" w:hAnsi="Myriad Pro"/>
          <w:sz w:val="24"/>
          <w:szCs w:val="24"/>
          <w:lang w:val="en-US"/>
        </w:rPr>
        <w:t xml:space="preserve">Steuerhinterziehung u. a., 5 </w:t>
      </w:r>
      <w:proofErr w:type="gramStart"/>
      <w:r w:rsidRPr="009C352D">
        <w:rPr>
          <w:rFonts w:ascii="Myriad Pro" w:hAnsi="Myriad Pro"/>
          <w:sz w:val="24"/>
          <w:szCs w:val="24"/>
          <w:lang w:val="en-US"/>
        </w:rPr>
        <w:t>StR</w:t>
      </w:r>
      <w:proofErr w:type="gramEnd"/>
      <w:r w:rsidRPr="009C352D">
        <w:rPr>
          <w:rFonts w:ascii="Myriad Pro" w:hAnsi="Myriad Pro"/>
          <w:sz w:val="24"/>
          <w:szCs w:val="24"/>
          <w:lang w:val="en-US"/>
        </w:rPr>
        <w:t xml:space="preserve"> 746/97 (Bundesgerichtshof 26. </w:t>
      </w:r>
      <w:r w:rsidRPr="009C352D">
        <w:rPr>
          <w:rFonts w:ascii="Myriad Pro" w:hAnsi="Myriad Pro"/>
          <w:sz w:val="24"/>
          <w:szCs w:val="24"/>
          <w:lang w:val="es-ES"/>
        </w:rPr>
        <w:t>Oktober 1998). Rec</w:t>
      </w:r>
      <w:r w:rsidRPr="009C352D">
        <w:rPr>
          <w:rFonts w:ascii="Myriad Pro" w:hAnsi="Myriad Pro"/>
          <w:sz w:val="24"/>
          <w:szCs w:val="24"/>
          <w:lang w:val="es-ES"/>
        </w:rPr>
        <w:t>u</w:t>
      </w:r>
      <w:r w:rsidRPr="009C352D">
        <w:rPr>
          <w:rFonts w:ascii="Myriad Pro" w:hAnsi="Myriad Pro"/>
          <w:sz w:val="24"/>
          <w:szCs w:val="24"/>
          <w:lang w:val="es-ES"/>
        </w:rPr>
        <w:t xml:space="preserve">perado de </w:t>
      </w:r>
      <w:hyperlink r:id="rId48" w:history="1">
        <w:r w:rsidRPr="009C352D">
          <w:rPr>
            <w:rStyle w:val="Hipervnculo"/>
            <w:rFonts w:ascii="Myriad Pro" w:hAnsi="Myriad Pro"/>
            <w:color w:val="auto"/>
            <w:sz w:val="24"/>
            <w:szCs w:val="24"/>
            <w:u w:val="none"/>
            <w:lang w:val="es-ES"/>
          </w:rPr>
          <w:t>https://bit.ly/2SBNb3L</w:t>
        </w:r>
      </w:hyperlink>
    </w:p>
    <w:p w14:paraId="59227633" w14:textId="77777777" w:rsidR="009C352D" w:rsidRPr="009C352D" w:rsidRDefault="009C352D" w:rsidP="004E104E">
      <w:pPr>
        <w:spacing w:before="180" w:after="180"/>
        <w:jc w:val="both"/>
        <w:rPr>
          <w:rFonts w:ascii="Myriad Pro" w:hAnsi="Myriad Pro" w:cs="Segoe UI"/>
          <w:sz w:val="24"/>
          <w:szCs w:val="24"/>
          <w:shd w:val="clear" w:color="auto" w:fill="FFFFFF"/>
        </w:rPr>
      </w:pPr>
      <w:r w:rsidRPr="009C352D">
        <w:rPr>
          <w:rFonts w:ascii="Myriad Pro" w:hAnsi="Myriad Pro" w:cs="Segoe UI"/>
          <w:sz w:val="24"/>
          <w:szCs w:val="24"/>
        </w:rPr>
        <w:t xml:space="preserve">Strafgesetzbuch. 15. Mai 1871. Recuperado de </w:t>
      </w:r>
      <w:hyperlink r:id="rId49" w:history="1">
        <w:r w:rsidRPr="009C352D">
          <w:rPr>
            <w:rStyle w:val="Hipervnculo"/>
            <w:rFonts w:ascii="Myriad Pro" w:hAnsi="Myriad Pro" w:cs="Segoe UI"/>
            <w:color w:val="auto"/>
            <w:sz w:val="24"/>
            <w:szCs w:val="24"/>
            <w:u w:val="none"/>
          </w:rPr>
          <w:t>https://bit.ly/31WbWZW</w:t>
        </w:r>
      </w:hyperlink>
    </w:p>
    <w:p w14:paraId="1A1D79BE" w14:textId="2777A8E8" w:rsidR="009C352D" w:rsidRPr="009C352D" w:rsidRDefault="009C352D" w:rsidP="004E104E">
      <w:pPr>
        <w:spacing w:before="180" w:after="180"/>
        <w:jc w:val="both"/>
        <w:rPr>
          <w:rStyle w:val="Hipervnculo"/>
          <w:rFonts w:ascii="Myriad Pro" w:hAnsi="Myriad Pro"/>
          <w:sz w:val="24"/>
          <w:szCs w:val="24"/>
        </w:rPr>
      </w:pPr>
      <w:r w:rsidRPr="009C352D">
        <w:rPr>
          <w:rFonts w:ascii="Myriad Pro" w:hAnsi="Myriad Pro"/>
          <w:sz w:val="24"/>
          <w:szCs w:val="24"/>
          <w:lang w:val="en-US"/>
        </w:rPr>
        <w:lastRenderedPageBreak/>
        <w:t xml:space="preserve">Strafsache gegen wegen Beihilfe zum versuchten Betrug, 5 </w:t>
      </w:r>
      <w:proofErr w:type="gramStart"/>
      <w:r w:rsidRPr="009C352D">
        <w:rPr>
          <w:rFonts w:ascii="Myriad Pro" w:hAnsi="Myriad Pro"/>
          <w:sz w:val="24"/>
          <w:szCs w:val="24"/>
          <w:lang w:val="en-US"/>
        </w:rPr>
        <w:t>StR</w:t>
      </w:r>
      <w:proofErr w:type="gramEnd"/>
      <w:r w:rsidRPr="009C352D">
        <w:rPr>
          <w:rFonts w:ascii="Myriad Pro" w:hAnsi="Myriad Pro"/>
          <w:sz w:val="24"/>
          <w:szCs w:val="24"/>
          <w:lang w:val="en-US"/>
        </w:rPr>
        <w:t xml:space="preserve"> 468/12 (Bu</w:t>
      </w:r>
      <w:r w:rsidRPr="009C352D">
        <w:rPr>
          <w:rFonts w:ascii="Myriad Pro" w:hAnsi="Myriad Pro"/>
          <w:sz w:val="24"/>
          <w:szCs w:val="24"/>
          <w:lang w:val="en-US"/>
        </w:rPr>
        <w:t>n</w:t>
      </w:r>
      <w:r w:rsidRPr="009C352D">
        <w:rPr>
          <w:rFonts w:ascii="Myriad Pro" w:hAnsi="Myriad Pro"/>
          <w:sz w:val="24"/>
          <w:szCs w:val="24"/>
          <w:lang w:val="en-US"/>
        </w:rPr>
        <w:t xml:space="preserve">desgerichtshof 22. </w:t>
      </w:r>
      <w:r w:rsidRPr="009C352D">
        <w:rPr>
          <w:rFonts w:ascii="Myriad Pro" w:hAnsi="Myriad Pro"/>
          <w:sz w:val="24"/>
          <w:szCs w:val="24"/>
        </w:rPr>
        <w:t xml:space="preserve">Januar 2014). Recuperado de </w:t>
      </w:r>
      <w:hyperlink r:id="rId50" w:history="1">
        <w:r w:rsidRPr="009C352D">
          <w:rPr>
            <w:rStyle w:val="Hipervnculo"/>
            <w:rFonts w:ascii="Myriad Pro" w:hAnsi="Myriad Pro"/>
            <w:color w:val="auto"/>
            <w:sz w:val="24"/>
            <w:szCs w:val="24"/>
            <w:u w:val="none"/>
          </w:rPr>
          <w:t>https://bit.ly/3fjhmV5</w:t>
        </w:r>
      </w:hyperlink>
    </w:p>
    <w:p w14:paraId="77D4211F" w14:textId="77777777"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 xml:space="preserve">Tisnado Solís, L. (2018). </w:t>
      </w:r>
      <w:r w:rsidRPr="009C352D">
        <w:rPr>
          <w:rFonts w:ascii="Myriad Pro" w:hAnsi="Myriad Pro"/>
          <w:i/>
          <w:sz w:val="24"/>
          <w:szCs w:val="24"/>
        </w:rPr>
        <w:t>Fundamentos normativos de la intervención delictiva y respo</w:t>
      </w:r>
      <w:r w:rsidRPr="009C352D">
        <w:rPr>
          <w:rFonts w:ascii="Myriad Pro" w:hAnsi="Myriad Pro"/>
          <w:i/>
          <w:sz w:val="24"/>
          <w:szCs w:val="24"/>
        </w:rPr>
        <w:t>n</w:t>
      </w:r>
      <w:r w:rsidRPr="009C352D">
        <w:rPr>
          <w:rFonts w:ascii="Myriad Pro" w:hAnsi="Myriad Pro"/>
          <w:i/>
          <w:sz w:val="24"/>
          <w:szCs w:val="24"/>
        </w:rPr>
        <w:t>sabilidad p</w:t>
      </w:r>
      <w:r w:rsidRPr="009C352D">
        <w:rPr>
          <w:rFonts w:ascii="Myriad Pro" w:hAnsi="Myriad Pro"/>
          <w:i/>
          <w:sz w:val="24"/>
          <w:szCs w:val="24"/>
          <w:lang w:val="es-ES"/>
        </w:rPr>
        <w:t xml:space="preserve">enal. </w:t>
      </w:r>
      <w:r w:rsidRPr="009C352D">
        <w:rPr>
          <w:rFonts w:ascii="Myriad Pro" w:hAnsi="Myriad Pro"/>
          <w:sz w:val="24"/>
          <w:szCs w:val="24"/>
        </w:rPr>
        <w:t>Santiago: Hammurabi.</w:t>
      </w:r>
    </w:p>
    <w:p w14:paraId="20079DD2" w14:textId="77777777" w:rsidR="009C352D" w:rsidRPr="009C352D" w:rsidRDefault="009C352D" w:rsidP="004E104E">
      <w:pPr>
        <w:spacing w:before="180" w:after="180"/>
        <w:jc w:val="both"/>
        <w:rPr>
          <w:rFonts w:ascii="Myriad Pro" w:hAnsi="Myriad Pro"/>
          <w:bCs/>
          <w:sz w:val="24"/>
          <w:szCs w:val="24"/>
          <w:lang w:val="en-US"/>
        </w:rPr>
      </w:pPr>
      <w:r w:rsidRPr="009C352D">
        <w:rPr>
          <w:rFonts w:ascii="Myriad Pro" w:hAnsi="Myriad Pro"/>
          <w:sz w:val="24"/>
          <w:szCs w:val="24"/>
        </w:rPr>
        <w:t>Viveros Vergara, M.</w:t>
      </w:r>
      <w:r w:rsidRPr="009C352D">
        <w:rPr>
          <w:rFonts w:ascii="Myriad Pro" w:hAnsi="Myriad Pro"/>
          <w:sz w:val="24"/>
          <w:szCs w:val="24"/>
          <w:lang w:val="es-ES"/>
        </w:rPr>
        <w:t xml:space="preserve"> (2013). Sobre los límites de la complicidad. En </w:t>
      </w:r>
      <w:r w:rsidRPr="009C352D">
        <w:rPr>
          <w:rFonts w:ascii="Myriad Pro" w:hAnsi="Myriad Pro"/>
          <w:sz w:val="24"/>
          <w:szCs w:val="24"/>
        </w:rPr>
        <w:t>A. van Weezel</w:t>
      </w:r>
      <w:r w:rsidRPr="009C352D">
        <w:rPr>
          <w:rFonts w:ascii="Myriad Pro" w:hAnsi="Myriad Pro"/>
          <w:sz w:val="24"/>
          <w:szCs w:val="24"/>
          <w:lang w:val="es-ES"/>
        </w:rPr>
        <w:t xml:space="preserve"> de la Cruz (Coord.), </w:t>
      </w:r>
      <w:r w:rsidRPr="009C352D">
        <w:rPr>
          <w:rFonts w:ascii="Myriad Pro" w:hAnsi="Myriad Pro"/>
          <w:i/>
          <w:sz w:val="24"/>
          <w:szCs w:val="24"/>
          <w:lang w:val="es-ES"/>
        </w:rPr>
        <w:t>Humanizar y renovar el derecho penal: estudios en memoria de Enrique Cury (</w:t>
      </w:r>
      <w:r w:rsidRPr="009C352D">
        <w:rPr>
          <w:rFonts w:ascii="Myriad Pro" w:hAnsi="Myriad Pro"/>
          <w:sz w:val="24"/>
          <w:szCs w:val="24"/>
          <w:lang w:val="es-ES"/>
        </w:rPr>
        <w:t xml:space="preserve">pp. 659-675). </w:t>
      </w:r>
      <w:r w:rsidRPr="009C352D">
        <w:rPr>
          <w:rFonts w:ascii="Myriad Pro" w:hAnsi="Myriad Pro"/>
          <w:sz w:val="24"/>
          <w:szCs w:val="24"/>
          <w:lang w:val="en-US"/>
        </w:rPr>
        <w:t>Santiago: Thomson Reuters.</w:t>
      </w:r>
    </w:p>
    <w:p w14:paraId="5F3E48FE" w14:textId="77777777" w:rsidR="009C352D" w:rsidRPr="009C352D" w:rsidRDefault="009C352D" w:rsidP="004E104E">
      <w:pPr>
        <w:spacing w:before="180" w:after="180"/>
        <w:jc w:val="both"/>
        <w:rPr>
          <w:rStyle w:val="Hipervnculo"/>
          <w:rFonts w:ascii="Myriad Pro" w:hAnsi="Myriad Pro"/>
          <w:color w:val="auto"/>
          <w:sz w:val="24"/>
          <w:szCs w:val="24"/>
          <w:u w:val="none"/>
        </w:rPr>
      </w:pPr>
      <w:r w:rsidRPr="009C352D">
        <w:rPr>
          <w:rFonts w:ascii="Myriad Pro" w:hAnsi="Myriad Pro"/>
          <w:sz w:val="24"/>
          <w:szCs w:val="24"/>
          <w:lang w:val="en-US"/>
        </w:rPr>
        <w:t>Vogel,</w:t>
      </w:r>
      <w:r w:rsidRPr="009C352D">
        <w:rPr>
          <w:rFonts w:ascii="Myriad Pro" w:hAnsi="Myriad Pro"/>
          <w:bCs/>
          <w:sz w:val="24"/>
          <w:szCs w:val="24"/>
          <w:lang w:val="en-US"/>
        </w:rPr>
        <w:t xml:space="preserve"> J. (1993). </w:t>
      </w:r>
      <w:proofErr w:type="gramStart"/>
      <w:r w:rsidRPr="009C352D">
        <w:rPr>
          <w:rFonts w:ascii="Myriad Pro" w:hAnsi="Myriad Pro"/>
          <w:bCs/>
          <w:i/>
          <w:sz w:val="24"/>
          <w:szCs w:val="24"/>
          <w:lang w:val="en-US"/>
        </w:rPr>
        <w:t>Norm und Pflicht bei den unechten Unterlassungsdelikten</w:t>
      </w:r>
      <w:r w:rsidRPr="009C352D">
        <w:rPr>
          <w:rFonts w:ascii="Myriad Pro" w:hAnsi="Myriad Pro"/>
          <w:bCs/>
          <w:sz w:val="24"/>
          <w:szCs w:val="24"/>
          <w:lang w:val="en-US"/>
        </w:rPr>
        <w:t>.</w:t>
      </w:r>
      <w:proofErr w:type="gramEnd"/>
      <w:r w:rsidRPr="009C352D">
        <w:rPr>
          <w:rFonts w:ascii="Myriad Pro" w:hAnsi="Myriad Pro"/>
          <w:bCs/>
          <w:sz w:val="24"/>
          <w:szCs w:val="24"/>
          <w:lang w:val="en-US"/>
        </w:rPr>
        <w:t xml:space="preserve"> </w:t>
      </w:r>
      <w:r w:rsidRPr="009C352D">
        <w:rPr>
          <w:rFonts w:ascii="Myriad Pro" w:hAnsi="Myriad Pro"/>
          <w:bCs/>
          <w:sz w:val="24"/>
          <w:szCs w:val="24"/>
        </w:rPr>
        <w:t xml:space="preserve">Berlin: </w:t>
      </w:r>
      <w:r w:rsidRPr="009C352D">
        <w:rPr>
          <w:rFonts w:ascii="Myriad Pro" w:hAnsi="Myriad Pro"/>
          <w:sz w:val="24"/>
          <w:szCs w:val="24"/>
        </w:rPr>
        <w:t xml:space="preserve">Duncker &amp; Humblot. </w:t>
      </w:r>
      <w:proofErr w:type="gramStart"/>
      <w:r w:rsidRPr="009C352D">
        <w:rPr>
          <w:rFonts w:ascii="Myriad Pro" w:hAnsi="Myriad Pro"/>
          <w:sz w:val="24"/>
          <w:szCs w:val="24"/>
        </w:rPr>
        <w:t>doi</w:t>
      </w:r>
      <w:proofErr w:type="gramEnd"/>
      <w:r w:rsidRPr="009C352D">
        <w:rPr>
          <w:rFonts w:ascii="Myriad Pro" w:hAnsi="Myriad Pro"/>
          <w:sz w:val="24"/>
          <w:szCs w:val="24"/>
        </w:rPr>
        <w:t xml:space="preserve">: </w:t>
      </w:r>
      <w:hyperlink r:id="rId51" w:history="1">
        <w:r w:rsidRPr="009C352D">
          <w:rPr>
            <w:rStyle w:val="Hipervnculo"/>
            <w:rFonts w:ascii="Myriad Pro" w:hAnsi="Myriad Pro"/>
            <w:color w:val="auto"/>
            <w:sz w:val="24"/>
            <w:szCs w:val="24"/>
            <w:u w:val="none"/>
          </w:rPr>
          <w:t>10.3790/978-3-428-47822-4</w:t>
        </w:r>
      </w:hyperlink>
    </w:p>
    <w:p w14:paraId="738331F4" w14:textId="558972F9" w:rsidR="009C352D" w:rsidRPr="009C352D" w:rsidRDefault="009C352D" w:rsidP="004E104E">
      <w:pPr>
        <w:spacing w:before="180" w:after="180"/>
        <w:jc w:val="both"/>
        <w:rPr>
          <w:rFonts w:ascii="Myriad Pro" w:hAnsi="Myriad Pro"/>
          <w:sz w:val="24"/>
          <w:szCs w:val="24"/>
        </w:rPr>
      </w:pPr>
      <w:r w:rsidRPr="009C352D">
        <w:rPr>
          <w:rFonts w:ascii="Myriad Pro" w:hAnsi="Myriad Pro"/>
          <w:sz w:val="24"/>
          <w:szCs w:val="24"/>
        </w:rPr>
        <w:t xml:space="preserve">Waffengesetz. Bundesgesetzblatt I, República Federal Alemana, 11 de octubre de 2002. Recuperado de </w:t>
      </w:r>
      <w:hyperlink r:id="rId52" w:history="1">
        <w:r w:rsidRPr="009C352D">
          <w:rPr>
            <w:rStyle w:val="Hipervnculo"/>
            <w:rFonts w:ascii="Myriad Pro" w:hAnsi="Myriad Pro"/>
            <w:color w:val="auto"/>
            <w:sz w:val="24"/>
            <w:szCs w:val="24"/>
            <w:u w:val="none"/>
          </w:rPr>
          <w:t>https://bit.ly/3h23uBc</w:t>
        </w:r>
      </w:hyperlink>
    </w:p>
    <w:p w14:paraId="0B205D3F" w14:textId="77777777" w:rsidR="009C352D" w:rsidRPr="009C352D" w:rsidRDefault="009C352D" w:rsidP="004E104E">
      <w:pPr>
        <w:spacing w:before="180" w:after="180"/>
        <w:jc w:val="both"/>
        <w:rPr>
          <w:rFonts w:ascii="Myriad Pro" w:hAnsi="Myriad Pro" w:cs="Calibri (Cuerpo en alfabeto com"/>
          <w:smallCaps/>
          <w:sz w:val="24"/>
          <w:szCs w:val="24"/>
          <w:lang w:val="es-ES"/>
        </w:rPr>
      </w:pPr>
      <w:proofErr w:type="gramStart"/>
      <w:r w:rsidRPr="009C352D">
        <w:rPr>
          <w:rFonts w:ascii="Myriad Pro" w:hAnsi="Myriad Pro"/>
          <w:sz w:val="24"/>
          <w:szCs w:val="24"/>
        </w:rPr>
        <w:t>van</w:t>
      </w:r>
      <w:proofErr w:type="gramEnd"/>
      <w:r w:rsidRPr="009C352D">
        <w:rPr>
          <w:rFonts w:ascii="Myriad Pro" w:hAnsi="Myriad Pro"/>
          <w:sz w:val="24"/>
          <w:szCs w:val="24"/>
        </w:rPr>
        <w:t xml:space="preserve"> Weezel de la Cruz,</w:t>
      </w:r>
      <w:r w:rsidRPr="009C352D">
        <w:rPr>
          <w:rFonts w:ascii="Myriad Pro" w:hAnsi="Myriad Pro"/>
          <w:sz w:val="24"/>
          <w:szCs w:val="24"/>
          <w:lang w:val="es-ES"/>
        </w:rPr>
        <w:t xml:space="preserve"> A. (2007). </w:t>
      </w:r>
      <w:r w:rsidRPr="009C352D">
        <w:rPr>
          <w:rFonts w:ascii="Myriad Pro" w:hAnsi="Myriad Pro"/>
          <w:i/>
          <w:sz w:val="24"/>
          <w:szCs w:val="24"/>
          <w:lang w:val="es-ES"/>
        </w:rPr>
        <w:t>Delitos tributarios</w:t>
      </w:r>
      <w:r w:rsidRPr="009C352D">
        <w:rPr>
          <w:rFonts w:ascii="Myriad Pro" w:hAnsi="Myriad Pro"/>
          <w:sz w:val="24"/>
          <w:szCs w:val="24"/>
          <w:lang w:val="es-ES"/>
        </w:rPr>
        <w:t>. Santiago: Jurídica de Chile.</w:t>
      </w:r>
      <w:r w:rsidRPr="009C352D">
        <w:rPr>
          <w:rFonts w:ascii="Myriad Pro" w:hAnsi="Myriad Pro" w:cs="Calibri (Cuerpo en alfabeto com"/>
          <w:smallCaps/>
          <w:sz w:val="24"/>
          <w:szCs w:val="24"/>
          <w:lang w:val="es-ES"/>
        </w:rPr>
        <w:t xml:space="preserve"> </w:t>
      </w:r>
    </w:p>
    <w:p w14:paraId="73A5FA3F" w14:textId="77777777" w:rsidR="009C352D" w:rsidRPr="009C352D" w:rsidRDefault="009C352D" w:rsidP="004E104E">
      <w:pPr>
        <w:spacing w:before="180" w:after="180"/>
        <w:jc w:val="both"/>
        <w:rPr>
          <w:rFonts w:ascii="Myriad Pro" w:hAnsi="Myriad Pro"/>
          <w:bCs/>
          <w:sz w:val="24"/>
          <w:szCs w:val="24"/>
          <w:lang w:val="en-US"/>
        </w:rPr>
      </w:pPr>
      <w:r w:rsidRPr="009C352D">
        <w:rPr>
          <w:rFonts w:ascii="Myriad Pro" w:hAnsi="Myriad Pro"/>
          <w:sz w:val="24"/>
          <w:szCs w:val="24"/>
          <w:lang w:val="en-US"/>
        </w:rPr>
        <w:t>Welzel</w:t>
      </w:r>
      <w:r w:rsidRPr="009C352D">
        <w:rPr>
          <w:rFonts w:ascii="Myriad Pro" w:hAnsi="Myriad Pro"/>
          <w:bCs/>
          <w:sz w:val="24"/>
          <w:szCs w:val="24"/>
          <w:lang w:val="en-US"/>
        </w:rPr>
        <w:t xml:space="preserve">, H. (1975). </w:t>
      </w:r>
      <w:r w:rsidRPr="009C352D">
        <w:rPr>
          <w:rFonts w:ascii="Myriad Pro" w:hAnsi="Myriad Pro"/>
          <w:bCs/>
          <w:i/>
          <w:sz w:val="24"/>
          <w:szCs w:val="24"/>
          <w:lang w:val="en-US"/>
        </w:rPr>
        <w:t>Abhandlungen zum Strafrecht und zur Rechtsphilosophie</w:t>
      </w:r>
      <w:r w:rsidRPr="009C352D">
        <w:rPr>
          <w:rFonts w:ascii="Myriad Pro" w:hAnsi="Myriad Pro"/>
          <w:bCs/>
          <w:sz w:val="24"/>
          <w:szCs w:val="24"/>
          <w:lang w:val="en-US"/>
        </w:rPr>
        <w:t xml:space="preserve">, Berlin: De Gruyter. </w:t>
      </w:r>
      <w:proofErr w:type="gramStart"/>
      <w:r w:rsidRPr="009C352D">
        <w:rPr>
          <w:rFonts w:ascii="Myriad Pro" w:hAnsi="Myriad Pro"/>
          <w:bCs/>
          <w:sz w:val="24"/>
          <w:szCs w:val="24"/>
          <w:lang w:val="en-US"/>
        </w:rPr>
        <w:t>doi</w:t>
      </w:r>
      <w:proofErr w:type="gramEnd"/>
      <w:r w:rsidRPr="009C352D">
        <w:rPr>
          <w:rFonts w:ascii="Myriad Pro" w:hAnsi="Myriad Pro"/>
          <w:bCs/>
          <w:sz w:val="24"/>
          <w:szCs w:val="24"/>
          <w:lang w:val="en-US"/>
        </w:rPr>
        <w:t xml:space="preserve">: </w:t>
      </w:r>
      <w:hyperlink r:id="rId53" w:tgtFrame="_blank" w:history="1">
        <w:r w:rsidRPr="009C352D">
          <w:rPr>
            <w:rStyle w:val="Hipervnculo"/>
            <w:rFonts w:ascii="Myriad Pro" w:eastAsiaTheme="majorEastAsia" w:hAnsi="Myriad Pro"/>
            <w:color w:val="auto"/>
            <w:sz w:val="24"/>
            <w:szCs w:val="24"/>
            <w:u w:val="none"/>
            <w:lang w:val="en-US"/>
          </w:rPr>
          <w:t>10.1515/9783110892666</w:t>
        </w:r>
      </w:hyperlink>
    </w:p>
    <w:p w14:paraId="417E4437" w14:textId="77777777" w:rsidR="009C352D" w:rsidRPr="009C352D" w:rsidRDefault="009C352D" w:rsidP="004E104E">
      <w:pPr>
        <w:spacing w:before="180" w:after="180"/>
        <w:jc w:val="both"/>
        <w:rPr>
          <w:rFonts w:ascii="Myriad Pro" w:hAnsi="Myriad Pro"/>
          <w:bCs/>
          <w:sz w:val="24"/>
          <w:szCs w:val="24"/>
          <w:lang w:val="en-US"/>
        </w:rPr>
      </w:pPr>
      <w:proofErr w:type="gramStart"/>
      <w:r w:rsidRPr="009C352D">
        <w:rPr>
          <w:rFonts w:ascii="Myriad Pro" w:hAnsi="Myriad Pro"/>
          <w:sz w:val="24"/>
          <w:szCs w:val="24"/>
          <w:lang w:val="en-US"/>
        </w:rPr>
        <w:t>Wiegand,</w:t>
      </w:r>
      <w:r w:rsidRPr="009C352D">
        <w:rPr>
          <w:rFonts w:ascii="Myriad Pro" w:hAnsi="Myriad Pro"/>
          <w:bCs/>
          <w:sz w:val="24"/>
          <w:szCs w:val="24"/>
          <w:lang w:val="en-US"/>
        </w:rPr>
        <w:t xml:space="preserve"> T. (1998) “Grenzen strafbarer Beihilfe”.</w:t>
      </w:r>
      <w:proofErr w:type="gramEnd"/>
      <w:r w:rsidRPr="009C352D">
        <w:rPr>
          <w:rFonts w:ascii="Myriad Pro" w:hAnsi="Myriad Pro"/>
          <w:bCs/>
          <w:sz w:val="24"/>
          <w:szCs w:val="24"/>
          <w:lang w:val="en-US"/>
        </w:rPr>
        <w:t xml:space="preserve"> En A. </w:t>
      </w:r>
      <w:r w:rsidRPr="009C352D">
        <w:rPr>
          <w:rFonts w:ascii="Myriad Pro" w:hAnsi="Myriad Pro"/>
          <w:sz w:val="24"/>
          <w:szCs w:val="24"/>
          <w:lang w:val="en-US"/>
        </w:rPr>
        <w:t>Eser</w:t>
      </w:r>
      <w:r w:rsidRPr="009C352D">
        <w:rPr>
          <w:rFonts w:ascii="Myriad Pro" w:hAnsi="Myriad Pro"/>
          <w:bCs/>
          <w:sz w:val="24"/>
          <w:szCs w:val="24"/>
          <w:lang w:val="en-US"/>
        </w:rPr>
        <w:t>,</w:t>
      </w:r>
      <w:r w:rsidRPr="009C352D">
        <w:rPr>
          <w:rFonts w:ascii="Myriad Pro" w:hAnsi="Myriad Pro"/>
          <w:sz w:val="24"/>
          <w:szCs w:val="24"/>
          <w:lang w:val="en-US"/>
        </w:rPr>
        <w:t xml:space="preserve"> (Ed.), </w:t>
      </w:r>
      <w:r w:rsidRPr="009C352D">
        <w:rPr>
          <w:rFonts w:ascii="Myriad Pro" w:hAnsi="Myriad Pro"/>
          <w:i/>
          <w:sz w:val="24"/>
          <w:szCs w:val="24"/>
          <w:lang w:val="en-US"/>
        </w:rPr>
        <w:t>Festschrift für Haruo Nishihara zum 70. Geburtstag</w:t>
      </w:r>
      <w:r w:rsidRPr="009C352D">
        <w:rPr>
          <w:rFonts w:ascii="Myriad Pro" w:hAnsi="Myriad Pro"/>
          <w:sz w:val="24"/>
          <w:szCs w:val="24"/>
          <w:lang w:val="en-US"/>
        </w:rPr>
        <w:t xml:space="preserve"> (pp. 197-212). Baden-Baden: Nomos.</w:t>
      </w:r>
    </w:p>
    <w:p w14:paraId="240BB917" w14:textId="77777777" w:rsidR="009C352D" w:rsidRPr="009C352D" w:rsidRDefault="009C352D" w:rsidP="004E104E">
      <w:pPr>
        <w:spacing w:before="180" w:after="180"/>
        <w:jc w:val="both"/>
        <w:rPr>
          <w:rFonts w:ascii="Myriad Pro" w:hAnsi="Myriad Pro"/>
          <w:bCs/>
          <w:sz w:val="24"/>
          <w:szCs w:val="24"/>
          <w:lang w:val="en-US"/>
        </w:rPr>
      </w:pPr>
      <w:proofErr w:type="gramStart"/>
      <w:r w:rsidRPr="009C352D">
        <w:rPr>
          <w:rFonts w:ascii="Myriad Pro" w:hAnsi="Myriad Pro"/>
          <w:sz w:val="24"/>
          <w:szCs w:val="24"/>
          <w:lang w:val="en-US"/>
        </w:rPr>
        <w:t>Wohlers,</w:t>
      </w:r>
      <w:r w:rsidRPr="009C352D">
        <w:rPr>
          <w:rFonts w:ascii="Myriad Pro" w:hAnsi="Myriad Pro"/>
          <w:bCs/>
          <w:sz w:val="24"/>
          <w:szCs w:val="24"/>
          <w:lang w:val="en-US"/>
        </w:rPr>
        <w:t xml:space="preserve"> W. (2000).</w:t>
      </w:r>
      <w:proofErr w:type="gramEnd"/>
      <w:r w:rsidRPr="009C352D">
        <w:rPr>
          <w:rFonts w:ascii="Myriad Pro" w:hAnsi="Myriad Pro"/>
          <w:bCs/>
          <w:sz w:val="24"/>
          <w:szCs w:val="24"/>
          <w:lang w:val="en-US"/>
        </w:rPr>
        <w:t xml:space="preserve"> </w:t>
      </w:r>
      <w:proofErr w:type="gramStart"/>
      <w:r w:rsidRPr="009C352D">
        <w:rPr>
          <w:rFonts w:ascii="Myriad Pro" w:hAnsi="Myriad Pro"/>
          <w:bCs/>
          <w:sz w:val="24"/>
          <w:szCs w:val="24"/>
          <w:lang w:val="en-US"/>
        </w:rPr>
        <w:t>Hilfeleistung und erlaubtes Risiko - zur Einschränkung der Stra</w:t>
      </w:r>
      <w:r w:rsidRPr="009C352D">
        <w:rPr>
          <w:rFonts w:ascii="Myriad Pro" w:hAnsi="Myriad Pro"/>
          <w:bCs/>
          <w:sz w:val="24"/>
          <w:szCs w:val="24"/>
          <w:lang w:val="en-US"/>
        </w:rPr>
        <w:t>f</w:t>
      </w:r>
      <w:r w:rsidRPr="009C352D">
        <w:rPr>
          <w:rFonts w:ascii="Myriad Pro" w:hAnsi="Myriad Pro"/>
          <w:bCs/>
          <w:sz w:val="24"/>
          <w:szCs w:val="24"/>
          <w:lang w:val="en-US"/>
        </w:rPr>
        <w:t>barkeit gemäß § 27 StGB”.</w:t>
      </w:r>
      <w:proofErr w:type="gramEnd"/>
      <w:r w:rsidRPr="009C352D">
        <w:rPr>
          <w:rFonts w:ascii="Myriad Pro" w:hAnsi="Myriad Pro"/>
          <w:bCs/>
          <w:sz w:val="24"/>
          <w:szCs w:val="24"/>
          <w:lang w:val="en-US"/>
        </w:rPr>
        <w:t xml:space="preserve"> </w:t>
      </w:r>
      <w:proofErr w:type="gramStart"/>
      <w:r w:rsidRPr="009C352D">
        <w:rPr>
          <w:rFonts w:ascii="Myriad Pro" w:hAnsi="Myriad Pro"/>
          <w:bCs/>
          <w:i/>
          <w:sz w:val="24"/>
          <w:szCs w:val="24"/>
          <w:lang w:val="en-US"/>
        </w:rPr>
        <w:t>Neue Zeitschrift für Strafrecht</w:t>
      </w:r>
      <w:r w:rsidRPr="009C352D">
        <w:rPr>
          <w:rFonts w:ascii="Myriad Pro" w:hAnsi="Myriad Pro"/>
          <w:bCs/>
          <w:sz w:val="24"/>
          <w:szCs w:val="24"/>
          <w:lang w:val="en-US"/>
        </w:rPr>
        <w:t>, (4), 169-174.</w:t>
      </w:r>
      <w:proofErr w:type="gramEnd"/>
    </w:p>
    <w:p w14:paraId="70C8694A" w14:textId="77777777"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Wohlleben, M. (1996).</w:t>
      </w:r>
      <w:proofErr w:type="gramEnd"/>
      <w:r w:rsidRPr="009C352D">
        <w:rPr>
          <w:rFonts w:ascii="Myriad Pro" w:hAnsi="Myriad Pro"/>
          <w:sz w:val="24"/>
          <w:szCs w:val="24"/>
          <w:lang w:val="en-US"/>
        </w:rPr>
        <w:t xml:space="preserve"> </w:t>
      </w:r>
      <w:proofErr w:type="gramStart"/>
      <w:r w:rsidRPr="009C352D">
        <w:rPr>
          <w:rFonts w:ascii="Myriad Pro" w:hAnsi="Myriad Pro"/>
          <w:i/>
          <w:sz w:val="24"/>
          <w:szCs w:val="24"/>
          <w:lang w:val="en-US"/>
        </w:rPr>
        <w:t>Beihilfe durch äußerlich neutrale Handlungen</w:t>
      </w:r>
      <w:r w:rsidRPr="009C352D">
        <w:rPr>
          <w:rFonts w:ascii="Myriad Pro" w:hAnsi="Myriad Pro"/>
          <w:sz w:val="24"/>
          <w:szCs w:val="24"/>
          <w:lang w:val="en-US"/>
        </w:rPr>
        <w:t>.</w:t>
      </w:r>
      <w:proofErr w:type="gramEnd"/>
      <w:r w:rsidRPr="009C352D">
        <w:rPr>
          <w:rFonts w:ascii="Myriad Pro" w:hAnsi="Myriad Pro"/>
          <w:sz w:val="24"/>
          <w:szCs w:val="24"/>
          <w:lang w:val="en-US"/>
        </w:rPr>
        <w:t xml:space="preserve"> München: C.H. Beck.</w:t>
      </w:r>
    </w:p>
    <w:p w14:paraId="537C3617" w14:textId="22135CC6"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von</w:t>
      </w:r>
      <w:proofErr w:type="gramEnd"/>
      <w:r w:rsidRPr="009C352D">
        <w:rPr>
          <w:rFonts w:ascii="Myriad Pro" w:hAnsi="Myriad Pro"/>
          <w:sz w:val="24"/>
          <w:szCs w:val="24"/>
          <w:lang w:val="en-US"/>
        </w:rPr>
        <w:t xml:space="preserve"> Wright, G. H. (1963). Norm and Action: a logical enquiry. London: Routledge &amp; Kegan Paul. Recuperado de </w:t>
      </w:r>
      <w:hyperlink r:id="rId54" w:history="1">
        <w:r w:rsidRPr="009C352D">
          <w:rPr>
            <w:rStyle w:val="Hipervnculo"/>
            <w:rFonts w:ascii="Myriad Pro" w:hAnsi="Myriad Pro"/>
            <w:color w:val="auto"/>
            <w:sz w:val="24"/>
            <w:szCs w:val="24"/>
            <w:u w:val="none"/>
            <w:lang w:val="en-US"/>
          </w:rPr>
          <w:t>https://bit.ly/3e8cUcC</w:t>
        </w:r>
      </w:hyperlink>
    </w:p>
    <w:p w14:paraId="5F33F415" w14:textId="1263528D" w:rsidR="009C352D" w:rsidRPr="009C352D" w:rsidRDefault="009C352D" w:rsidP="004E104E">
      <w:pPr>
        <w:spacing w:before="180" w:after="180"/>
        <w:jc w:val="both"/>
        <w:rPr>
          <w:rFonts w:ascii="Myriad Pro" w:hAnsi="Myriad Pro"/>
          <w:sz w:val="24"/>
          <w:szCs w:val="24"/>
          <w:lang w:val="en-US"/>
        </w:rPr>
      </w:pPr>
      <w:proofErr w:type="gramStart"/>
      <w:r w:rsidRPr="009C352D">
        <w:rPr>
          <w:rFonts w:ascii="Myriad Pro" w:hAnsi="Myriad Pro"/>
          <w:sz w:val="24"/>
          <w:szCs w:val="24"/>
          <w:lang w:val="en-US"/>
        </w:rPr>
        <w:t>von</w:t>
      </w:r>
      <w:proofErr w:type="gramEnd"/>
      <w:r w:rsidRPr="009C352D">
        <w:rPr>
          <w:rFonts w:ascii="Myriad Pro" w:hAnsi="Myriad Pro"/>
          <w:sz w:val="24"/>
          <w:szCs w:val="24"/>
          <w:lang w:val="en-US"/>
        </w:rPr>
        <w:t xml:space="preserve"> Wright, G. H. (1974). </w:t>
      </w:r>
      <w:proofErr w:type="gramStart"/>
      <w:r w:rsidRPr="009C352D">
        <w:rPr>
          <w:rFonts w:ascii="Myriad Pro" w:hAnsi="Myriad Pro"/>
          <w:sz w:val="24"/>
          <w:szCs w:val="24"/>
          <w:lang w:val="en-US"/>
        </w:rPr>
        <w:t>Normenlogik.</w:t>
      </w:r>
      <w:proofErr w:type="gramEnd"/>
      <w:r w:rsidRPr="009C352D">
        <w:rPr>
          <w:rFonts w:ascii="Myriad Pro" w:hAnsi="Myriad Pro"/>
          <w:sz w:val="24"/>
          <w:szCs w:val="24"/>
          <w:lang w:val="en-US"/>
        </w:rPr>
        <w:t xml:space="preserve"> En H. Lenk, (Ed.), </w:t>
      </w:r>
      <w:r w:rsidRPr="009C352D">
        <w:rPr>
          <w:rFonts w:ascii="Myriad Pro" w:hAnsi="Myriad Pro"/>
          <w:i/>
          <w:sz w:val="24"/>
          <w:szCs w:val="24"/>
          <w:lang w:val="en-US"/>
        </w:rPr>
        <w:t xml:space="preserve">Normenlogik: </w:t>
      </w:r>
      <w:r w:rsidRPr="009C352D">
        <w:rPr>
          <w:rFonts w:ascii="Myriad Pro" w:hAnsi="Myriad Pro" w:cs="Arial"/>
          <w:i/>
          <w:sz w:val="24"/>
          <w:szCs w:val="24"/>
          <w:lang w:val="en-US"/>
        </w:rPr>
        <w:t>Grundprobleme der deontischen Logik</w:t>
      </w:r>
      <w:r w:rsidRPr="009C352D">
        <w:rPr>
          <w:rFonts w:ascii="Myriad Pro" w:hAnsi="Myriad Pro" w:cs="Arial"/>
          <w:sz w:val="24"/>
          <w:szCs w:val="24"/>
          <w:lang w:val="en-US"/>
        </w:rPr>
        <w:t xml:space="preserve"> (pp. 25-38).</w:t>
      </w:r>
      <w:r w:rsidRPr="009C352D">
        <w:rPr>
          <w:rFonts w:ascii="Myriad Pro" w:hAnsi="Myriad Pro"/>
          <w:sz w:val="24"/>
          <w:szCs w:val="24"/>
          <w:lang w:val="en-US"/>
        </w:rPr>
        <w:t xml:space="preserve"> Pullach: Verlag Dokumentation.</w:t>
      </w:r>
    </w:p>
    <w:p w14:paraId="6727C0C3" w14:textId="035BF9BC" w:rsidR="009C352D" w:rsidRPr="00B51469" w:rsidRDefault="009C352D" w:rsidP="004E104E">
      <w:pPr>
        <w:spacing w:before="180" w:after="180"/>
        <w:jc w:val="both"/>
        <w:rPr>
          <w:rStyle w:val="Hipervnculo"/>
          <w:rFonts w:ascii="Myriad Pro" w:hAnsi="Myriad Pro"/>
          <w:color w:val="auto"/>
          <w:sz w:val="24"/>
          <w:szCs w:val="24"/>
          <w:u w:val="none"/>
          <w:lang w:val="en-US"/>
        </w:rPr>
      </w:pPr>
      <w:r w:rsidRPr="009C352D">
        <w:rPr>
          <w:rFonts w:ascii="Myriad Pro" w:hAnsi="Myriad Pro"/>
          <w:sz w:val="24"/>
          <w:szCs w:val="24"/>
          <w:lang w:val="en-US"/>
        </w:rPr>
        <w:t xml:space="preserve">X. gegen Schweizerische Pay-Sat AG, BGE 114 IV 112 (Schweizerisches Bundesgericht 13. </w:t>
      </w:r>
      <w:proofErr w:type="gramStart"/>
      <w:r w:rsidRPr="004E104E">
        <w:rPr>
          <w:rFonts w:ascii="Myriad Pro" w:hAnsi="Myriad Pro"/>
          <w:sz w:val="24"/>
          <w:szCs w:val="24"/>
          <w:lang w:val="en-US"/>
        </w:rPr>
        <w:t>Juni 1988).</w:t>
      </w:r>
      <w:proofErr w:type="gramEnd"/>
      <w:r w:rsidRPr="004E104E">
        <w:rPr>
          <w:rFonts w:ascii="Myriad Pro" w:hAnsi="Myriad Pro"/>
          <w:sz w:val="24"/>
          <w:szCs w:val="24"/>
          <w:lang w:val="en-US"/>
        </w:rPr>
        <w:t xml:space="preserve"> Recuperado de </w:t>
      </w:r>
      <w:hyperlink r:id="rId55" w:history="1">
        <w:r w:rsidRPr="004E104E">
          <w:rPr>
            <w:rStyle w:val="Hipervnculo"/>
            <w:rFonts w:ascii="Myriad Pro" w:hAnsi="Myriad Pro"/>
            <w:color w:val="auto"/>
            <w:sz w:val="24"/>
            <w:szCs w:val="24"/>
            <w:u w:val="none"/>
            <w:lang w:val="en-US"/>
          </w:rPr>
          <w:t>https://bit.ly/2Sqh9b4</w:t>
        </w:r>
      </w:hyperlink>
    </w:p>
    <w:p w14:paraId="45D445D7" w14:textId="60F5A018" w:rsidR="004E104E" w:rsidRPr="004E104E" w:rsidRDefault="004E104E" w:rsidP="009C352D">
      <w:pPr>
        <w:spacing w:before="200"/>
        <w:jc w:val="both"/>
        <w:rPr>
          <w:rFonts w:ascii="Myriad Pro" w:hAnsi="Myriad Pro"/>
          <w:sz w:val="24"/>
          <w:szCs w:val="24"/>
          <w:lang w:val="en-US"/>
        </w:rPr>
      </w:pPr>
    </w:p>
    <w:p w14:paraId="0E62570B" w14:textId="5769A854" w:rsidR="00C67EE0" w:rsidRPr="00C67EE0" w:rsidRDefault="00C67EE0" w:rsidP="00C67EE0">
      <w:pPr>
        <w:spacing w:after="0" w:line="240" w:lineRule="auto"/>
        <w:rPr>
          <w:rFonts w:ascii="Myriad Pro" w:hAnsi="Myriad Pro"/>
          <w:noProof/>
          <w:sz w:val="24"/>
          <w:szCs w:val="24"/>
          <w:lang w:eastAsia="es-CL"/>
        </w:rPr>
      </w:pPr>
      <w:r w:rsidRPr="00C67EE0">
        <w:rPr>
          <w:rFonts w:ascii="Myriad Pro" w:hAnsi="Myriad Pro"/>
          <w:noProof/>
          <w:sz w:val="24"/>
          <w:szCs w:val="24"/>
          <w:lang w:eastAsia="es-CL"/>
        </w:rPr>
        <w:t>Copyright del articulo: ©2021 Miguel Schurmann</w:t>
      </w:r>
      <w:r w:rsidRPr="00C67EE0">
        <w:rPr>
          <w:rFonts w:ascii="Myriad Pro" w:hAnsi="Myriad Pro"/>
          <w:noProof/>
          <w:sz w:val="24"/>
          <w:szCs w:val="24"/>
          <w:lang w:eastAsia="es-CL"/>
        </w:rPr>
        <w:t>.</w:t>
      </w:r>
      <w:r w:rsidRPr="00C67EE0">
        <w:rPr>
          <w:rFonts w:ascii="Myriad Pro" w:hAnsi="Myriad Pro"/>
          <w:noProof/>
          <w:sz w:val="24"/>
          <w:szCs w:val="24"/>
          <w:lang w:eastAsia="es-CL"/>
        </w:rPr>
        <w:t xml:space="preserve"> </w:t>
      </w:r>
      <w:r w:rsidRPr="00C67EE0">
        <w:rPr>
          <w:rFonts w:ascii="Myriad Pro" w:hAnsi="Myriad Pro"/>
          <w:sz w:val="24"/>
          <w:szCs w:val="24"/>
        </w:rPr>
        <w:t>Este es un artículo de acceso abie</w:t>
      </w:r>
      <w:r w:rsidRPr="00C67EE0">
        <w:rPr>
          <w:rFonts w:ascii="Myriad Pro" w:hAnsi="Myriad Pro"/>
          <w:sz w:val="24"/>
          <w:szCs w:val="24"/>
        </w:rPr>
        <w:t>r</w:t>
      </w:r>
      <w:r w:rsidRPr="00C67EE0">
        <w:rPr>
          <w:rFonts w:ascii="Myriad Pro" w:hAnsi="Myriad Pro"/>
          <w:sz w:val="24"/>
          <w:szCs w:val="24"/>
        </w:rPr>
        <w:t xml:space="preserve">to, bajo licencia </w:t>
      </w:r>
      <w:hyperlink r:id="rId56" w:history="1">
        <w:r w:rsidRPr="00C67EE0">
          <w:rPr>
            <w:rStyle w:val="Hipervnculo"/>
            <w:rFonts w:ascii="Myriad Pro" w:hAnsi="Myriad Pro"/>
            <w:color w:val="auto"/>
            <w:sz w:val="24"/>
            <w:szCs w:val="24"/>
            <w:u w:val="none"/>
          </w:rPr>
          <w:t>Creative Co</w:t>
        </w:r>
        <w:r w:rsidRPr="00C67EE0">
          <w:rPr>
            <w:rStyle w:val="Hipervnculo"/>
            <w:rFonts w:ascii="Myriad Pro" w:hAnsi="Myriad Pro"/>
            <w:color w:val="auto"/>
            <w:sz w:val="24"/>
            <w:szCs w:val="24"/>
            <w:u w:val="none"/>
          </w:rPr>
          <w:t>m</w:t>
        </w:r>
        <w:r w:rsidRPr="00C67EE0">
          <w:rPr>
            <w:rStyle w:val="Hipervnculo"/>
            <w:rFonts w:ascii="Myriad Pro" w:hAnsi="Myriad Pro"/>
            <w:color w:val="auto"/>
            <w:sz w:val="24"/>
            <w:szCs w:val="24"/>
            <w:u w:val="none"/>
          </w:rPr>
          <w:t>mons BY 4.0.</w:t>
        </w:r>
      </w:hyperlink>
    </w:p>
    <w:p w14:paraId="1A3DE758" w14:textId="07EE2330" w:rsidR="00113EF5" w:rsidRPr="00C67EE0" w:rsidRDefault="00113EF5" w:rsidP="00903064">
      <w:pPr>
        <w:spacing w:before="180" w:after="180"/>
        <w:jc w:val="both"/>
        <w:rPr>
          <w:rStyle w:val="Hipervnculo"/>
          <w:rFonts w:ascii="Myriad Pro" w:hAnsi="Myriad Pro"/>
          <w:color w:val="auto"/>
          <w:sz w:val="24"/>
          <w:szCs w:val="24"/>
          <w:u w:val="none"/>
        </w:rPr>
      </w:pPr>
      <w:bookmarkStart w:id="3" w:name="_GoBack"/>
      <w:bookmarkEnd w:id="3"/>
    </w:p>
    <w:p w14:paraId="0C2B750A" w14:textId="326FACC0" w:rsidR="00263CCE" w:rsidRPr="00C67EE0" w:rsidRDefault="00263CCE" w:rsidP="0092222A">
      <w:pPr>
        <w:spacing w:before="200"/>
        <w:jc w:val="both"/>
        <w:rPr>
          <w:rFonts w:ascii="Myriad Pro" w:hAnsi="Myriad Pro"/>
        </w:rPr>
      </w:pPr>
    </w:p>
    <w:sectPr w:rsidR="00263CCE" w:rsidRPr="00C67EE0" w:rsidSect="008E4594">
      <w:type w:val="continuous"/>
      <w:pgSz w:w="11907" w:h="16839" w:code="9"/>
      <w:pgMar w:top="1417" w:right="1701" w:bottom="1417" w:left="1701"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A66D0" w14:textId="77777777" w:rsidR="00D360E2" w:rsidRDefault="00D360E2" w:rsidP="002C6E55">
      <w:pPr>
        <w:spacing w:after="0" w:line="240" w:lineRule="auto"/>
      </w:pPr>
      <w:r>
        <w:separator/>
      </w:r>
    </w:p>
  </w:endnote>
  <w:endnote w:type="continuationSeparator" w:id="0">
    <w:p w14:paraId="3D204933" w14:textId="77777777" w:rsidR="00D360E2" w:rsidRDefault="00D360E2" w:rsidP="002C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Cuerpo en alfabeto com">
    <w:altName w:val="Calibri"/>
    <w:charset w:val="00"/>
    <w:family w:val="roman"/>
    <w:pitch w:val="default"/>
  </w:font>
  <w:font w:name="Times New Roman (Cuerpo en alf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6232" w14:textId="77777777" w:rsidR="00D360E2" w:rsidRDefault="00D360E2" w:rsidP="002C6E55">
      <w:pPr>
        <w:spacing w:after="0" w:line="240" w:lineRule="auto"/>
      </w:pPr>
      <w:r>
        <w:separator/>
      </w:r>
    </w:p>
  </w:footnote>
  <w:footnote w:type="continuationSeparator" w:id="0">
    <w:p w14:paraId="41C2E554" w14:textId="77777777" w:rsidR="00D360E2" w:rsidRDefault="00D360E2" w:rsidP="002C6E55">
      <w:pPr>
        <w:spacing w:after="0" w:line="240" w:lineRule="auto"/>
      </w:pPr>
      <w:r>
        <w:continuationSeparator/>
      </w:r>
    </w:p>
  </w:footnote>
  <w:footnote w:id="1">
    <w:p w14:paraId="16E0B144" w14:textId="77777777" w:rsidR="006A7540" w:rsidRPr="006A6317" w:rsidRDefault="006A7540" w:rsidP="00132127">
      <w:pPr>
        <w:pStyle w:val="Textonotapie"/>
        <w:contextualSpacing/>
        <w:jc w:val="both"/>
        <w:rPr>
          <w:rFonts w:ascii="Myriad Pro" w:hAnsi="Myriad Pro"/>
          <w:lang w:val="es-ES"/>
        </w:rPr>
      </w:pPr>
      <w:r w:rsidRPr="006A6317">
        <w:rPr>
          <w:rStyle w:val="Refdenotaalpie"/>
          <w:rFonts w:ascii="Myriad Pro" w:hAnsi="Myriad Pro"/>
          <w:lang w:val="es-ES"/>
        </w:rPr>
        <w:footnoteRef/>
      </w:r>
      <w:r w:rsidRPr="006A6317">
        <w:rPr>
          <w:rFonts w:ascii="Myriad Pro" w:hAnsi="Myriad Pro"/>
          <w:lang w:val="es-ES"/>
        </w:rPr>
        <w:t xml:space="preserve"> Este tipo de comportamiento abarca también a aquél que se encuentra en conformidad con dete</w:t>
      </w:r>
      <w:r w:rsidRPr="006A6317">
        <w:rPr>
          <w:rFonts w:ascii="Myriad Pro" w:hAnsi="Myriad Pro"/>
          <w:lang w:val="es-ES"/>
        </w:rPr>
        <w:t>r</w:t>
      </w:r>
      <w:r w:rsidRPr="006A6317">
        <w:rPr>
          <w:rFonts w:ascii="Myriad Pro" w:hAnsi="Myriad Pro"/>
          <w:lang w:val="es-ES"/>
        </w:rPr>
        <w:t>minados parámetros.</w:t>
      </w:r>
    </w:p>
  </w:footnote>
  <w:footnote w:id="2">
    <w:p w14:paraId="44FD306E" w14:textId="6A695DC4" w:rsidR="006A7540" w:rsidRPr="006A6317" w:rsidRDefault="006A7540" w:rsidP="00132127">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Todas las traducciones, corresponden a versiones libres del alemán realizadas por el autor. (N. del E.)</w:t>
      </w:r>
    </w:p>
  </w:footnote>
  <w:footnote w:id="3">
    <w:p w14:paraId="4037C4AD" w14:textId="77777777" w:rsidR="006A7540" w:rsidRPr="006A6317" w:rsidRDefault="006A7540" w:rsidP="00132127">
      <w:pPr>
        <w:spacing w:after="0" w:line="240" w:lineRule="auto"/>
        <w:contextualSpacing/>
        <w:jc w:val="both"/>
        <w:rPr>
          <w:rFonts w:ascii="Myriad Pro" w:hAnsi="Myriad Pro"/>
          <w:sz w:val="20"/>
          <w:szCs w:val="20"/>
        </w:rPr>
      </w:pPr>
      <w:r w:rsidRPr="006A6317">
        <w:rPr>
          <w:rStyle w:val="Refdenotaalpie"/>
          <w:rFonts w:ascii="Myriad Pro" w:hAnsi="Myriad Pro"/>
          <w:sz w:val="20"/>
          <w:szCs w:val="20"/>
        </w:rPr>
        <w:footnoteRef/>
      </w:r>
      <w:r w:rsidRPr="006A6317">
        <w:rPr>
          <w:rFonts w:ascii="Myriad Pro" w:hAnsi="Myriad Pro"/>
          <w:sz w:val="20"/>
          <w:szCs w:val="20"/>
        </w:rPr>
        <w:t xml:space="preserve"> “Ejemplos: la venta de un pan o un cuchillo de bolsillo o una herramienta (desatornillador o martillo) que es comprada por alguien que la utiliza para matar, lesionar o hurtar; la venta de fósforos a un productor de un incendio posterior; la venta de un bebestible en el cual será mezclado un veneno para matar a otro; la venta de prendas de vestir para camuflarse; el arriendo de un vehículo para una banda de atracadores o para alguien que quiere transportar dinero al extranjero para cometer evasión de impuestos; el traslado del autor desde el lugar del delito por un taxista; la transferencia de dineros de clientes al extranjero por parte de un funcionario de un banco para evadir impuestos”. </w:t>
      </w:r>
    </w:p>
  </w:footnote>
  <w:footnote w:id="4">
    <w:p w14:paraId="3680FD16" w14:textId="7E32B4A9" w:rsidR="006A7540" w:rsidRPr="006A6317" w:rsidRDefault="006A7540" w:rsidP="00132127">
      <w:pPr>
        <w:pStyle w:val="Textonotapie"/>
        <w:contextualSpacing/>
        <w:jc w:val="both"/>
        <w:rPr>
          <w:rFonts w:ascii="Myriad Pro" w:hAnsi="Myriad Pro" w:cs="Times New Roman"/>
          <w:iCs/>
        </w:rPr>
      </w:pPr>
      <w:r w:rsidRPr="006A6317">
        <w:rPr>
          <w:rStyle w:val="Refdenotaalpie"/>
          <w:rFonts w:ascii="Myriad Pro" w:hAnsi="Myriad Pro" w:cs="Times New Roman"/>
        </w:rPr>
        <w:footnoteRef/>
      </w:r>
      <w:r w:rsidRPr="006A6317">
        <w:rPr>
          <w:rFonts w:ascii="Myriad Pro" w:hAnsi="Myriad Pro" w:cs="Times New Roman"/>
        </w:rPr>
        <w:t xml:space="preserve"> </w:t>
      </w:r>
      <w:r w:rsidRPr="006A6317">
        <w:rPr>
          <w:rFonts w:ascii="Myriad Pro" w:hAnsi="Myriad Pro"/>
          <w:lang w:val="es-ES"/>
        </w:rPr>
        <w:t xml:space="preserve">“¿Es cómplice en un delito en contra del medio ambiente quien conscientemente entrega material a un fabricante que en su elaboración infringe permanentemente las prescripciones medioambientales?”. </w:t>
      </w:r>
    </w:p>
  </w:footnote>
  <w:footnote w:id="5">
    <w:p w14:paraId="0D79FF79" w14:textId="77777777" w:rsidR="006A7540" w:rsidRPr="006A6317" w:rsidRDefault="006A7540" w:rsidP="00132127">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Código Penal alemán.</w:t>
      </w:r>
    </w:p>
  </w:footnote>
  <w:footnote w:id="6">
    <w:p w14:paraId="1C4A8D91" w14:textId="77777777" w:rsidR="006A7540" w:rsidRPr="006A6317" w:rsidRDefault="006A7540" w:rsidP="00132127">
      <w:pPr>
        <w:pStyle w:val="Textonotapie"/>
        <w:jc w:val="both"/>
        <w:rPr>
          <w:rFonts w:ascii="Myriad Pro" w:hAnsi="Myriad Pro"/>
          <w:lang w:val="es-ES"/>
        </w:rPr>
      </w:pPr>
      <w:r w:rsidRPr="006A6317">
        <w:rPr>
          <w:rStyle w:val="Refdenotaalpie"/>
          <w:rFonts w:ascii="Myriad Pro" w:hAnsi="Myriad Pro"/>
          <w:lang w:val="es-ES"/>
        </w:rPr>
        <w:footnoteRef/>
      </w:r>
      <w:r w:rsidRPr="006A6317">
        <w:rPr>
          <w:rFonts w:ascii="Myriad Pro" w:hAnsi="Myriad Pro"/>
          <w:lang w:val="es-ES"/>
        </w:rPr>
        <w:t xml:space="preserve"> Tribunal Supremo Federal Alemán.</w:t>
      </w:r>
    </w:p>
  </w:footnote>
  <w:footnote w:id="7">
    <w:p w14:paraId="46553ACE" w14:textId="7A49B798" w:rsidR="006A7540" w:rsidRPr="006A6317" w:rsidRDefault="006A7540">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cs="Times New Roman"/>
          <w:lang w:val="es-ES"/>
        </w:rPr>
        <w:t xml:space="preserve">Una breve referencia se encuentra en </w:t>
      </w:r>
      <w:hyperlink w:anchor="_1.3.2._El_criterio" w:history="1">
        <w:r w:rsidRPr="006A6317">
          <w:rPr>
            <w:rStyle w:val="Hipervnculo"/>
            <w:rFonts w:ascii="Myriad Pro" w:hAnsi="Myriad Pro" w:cs="Times New Roman"/>
            <w:color w:val="auto"/>
            <w:u w:val="none"/>
            <w:lang w:val="es-ES"/>
          </w:rPr>
          <w:t>1.3.2.</w:t>
        </w:r>
      </w:hyperlink>
    </w:p>
  </w:footnote>
  <w:footnote w:id="8">
    <w:p w14:paraId="784DEF26" w14:textId="77777777" w:rsidR="006A7540" w:rsidRPr="006A6317" w:rsidRDefault="006A7540" w:rsidP="00F36212">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lang w:val="es-ES"/>
        </w:rPr>
        <w:t>Debido a la necesaria claridad e imparcialidad científica en la exposición de las posiciones teóricas, se evitará la división de las opiniones de autores que combinan diversos criterios.</w:t>
      </w:r>
    </w:p>
  </w:footnote>
  <w:footnote w:id="9">
    <w:p w14:paraId="76836590" w14:textId="77777777" w:rsidR="006A7540" w:rsidRPr="006A6317" w:rsidRDefault="006A7540" w:rsidP="00C124A4">
      <w:pPr>
        <w:pStyle w:val="Textonotapie"/>
        <w:contextualSpacing/>
        <w:jc w:val="both"/>
        <w:rPr>
          <w:rFonts w:ascii="Myriad Pro" w:hAnsi="Myriad Pro"/>
          <w:lang w:val="es-ES"/>
        </w:rPr>
      </w:pPr>
      <w:r w:rsidRPr="006A6317">
        <w:rPr>
          <w:rStyle w:val="Caracteresdenotaalpie"/>
          <w:rFonts w:ascii="Myriad Pro" w:hAnsi="Myriad Pro"/>
          <w:vertAlign w:val="superscript"/>
          <w:lang w:val="es-ES"/>
        </w:rPr>
        <w:footnoteRef/>
      </w:r>
      <w:r w:rsidRPr="006A6317">
        <w:rPr>
          <w:rFonts w:ascii="Myriad Pro" w:hAnsi="Myriad Pro"/>
          <w:lang w:val="es-ES"/>
        </w:rPr>
        <w:t xml:space="preserve"> Esto vale especialmente cuando dicha calificación es utilizada no solo como conclusión de un análisis de reglas de comportamiento penales, sino que también como fundamento a favor de la impunidad de un comportamiento al menos </w:t>
      </w:r>
      <w:r w:rsidRPr="006A6317">
        <w:rPr>
          <w:rFonts w:ascii="Myriad Pro" w:hAnsi="Myriad Pro"/>
          <w:i/>
          <w:lang w:val="es-ES"/>
        </w:rPr>
        <w:t>prima facie</w:t>
      </w:r>
      <w:r w:rsidRPr="006A6317">
        <w:rPr>
          <w:rFonts w:ascii="Myriad Pro" w:hAnsi="Myriad Pro"/>
          <w:lang w:val="es-ES"/>
        </w:rPr>
        <w:t xml:space="preserve"> típico. </w:t>
      </w:r>
    </w:p>
  </w:footnote>
  <w:footnote w:id="10">
    <w:p w14:paraId="29DC46A4" w14:textId="77777777" w:rsidR="006A7540" w:rsidRPr="006A6317" w:rsidRDefault="006A7540" w:rsidP="00C124A4">
      <w:pPr>
        <w:pStyle w:val="Textonotapie"/>
        <w:jc w:val="both"/>
        <w:rPr>
          <w:rFonts w:ascii="Myriad Pro" w:hAnsi="Myriad Pro"/>
        </w:rPr>
      </w:pPr>
      <w:r w:rsidRPr="006A6317">
        <w:rPr>
          <w:rStyle w:val="Refdenotaalpie"/>
          <w:rFonts w:ascii="Myriad Pro" w:hAnsi="Myriad Pro"/>
        </w:rPr>
        <w:footnoteRef/>
      </w:r>
      <w:r w:rsidRPr="006A6317">
        <w:rPr>
          <w:rFonts w:ascii="Myriad Pro" w:hAnsi="Myriad Pro"/>
        </w:rPr>
        <w:t xml:space="preserve"> ver </w:t>
      </w:r>
      <w:r w:rsidRPr="006A6317">
        <w:rPr>
          <w:rFonts w:ascii="Myriad Pro" w:hAnsi="Myriad Pro"/>
          <w:i/>
        </w:rPr>
        <w:t>infra</w:t>
      </w:r>
      <w:r w:rsidRPr="006A6317">
        <w:rPr>
          <w:rFonts w:ascii="Myriad Pro" w:hAnsi="Myriad Pro"/>
        </w:rPr>
        <w:t xml:space="preserve"> </w:t>
      </w:r>
      <w:hyperlink w:anchor="1.1.4.3. La apelación a la prohibición de regreso como límite decisivo para la punibilidad del partícipe" w:history="1">
        <w:r w:rsidRPr="006A6317">
          <w:rPr>
            <w:rStyle w:val="Hipervnculo"/>
            <w:rFonts w:ascii="Myriad Pro" w:hAnsi="Myriad Pro"/>
            <w:color w:val="auto"/>
            <w:u w:val="none"/>
          </w:rPr>
          <w:t>1.1.4.3.</w:t>
        </w:r>
      </w:hyperlink>
    </w:p>
  </w:footnote>
  <w:footnote w:id="11">
    <w:p w14:paraId="028EC8B0" w14:textId="77777777" w:rsidR="006A7540" w:rsidRPr="006A6317" w:rsidRDefault="006A7540" w:rsidP="00C124A4">
      <w:pPr>
        <w:pStyle w:val="Textonotapie"/>
        <w:contextualSpacing/>
        <w:jc w:val="both"/>
        <w:rPr>
          <w:rFonts w:ascii="Myriad Pro" w:hAnsi="Myriad Pro"/>
        </w:rPr>
      </w:pPr>
      <w:r w:rsidRPr="006A6317">
        <w:rPr>
          <w:rStyle w:val="Caracteresdenotaalpie"/>
          <w:rFonts w:ascii="Myriad Pro" w:hAnsi="Myriad Pro"/>
          <w:vertAlign w:val="superscript"/>
          <w:lang w:val="es-ES"/>
        </w:rPr>
        <w:footnoteRef/>
      </w:r>
      <w:r w:rsidRPr="006A6317">
        <w:rPr>
          <w:rFonts w:ascii="Myriad Pro" w:hAnsi="Myriad Pro"/>
          <w:lang w:val="es-ES"/>
        </w:rPr>
        <w:t xml:space="preserve"> </w:t>
      </w:r>
      <w:r w:rsidRPr="006A6317">
        <w:rPr>
          <w:rFonts w:ascii="Myriad Pro" w:hAnsi="Myriad Pro" w:cs="Times New Roman"/>
          <w:lang w:val="es-ES"/>
        </w:rPr>
        <w:t>“</w:t>
      </w:r>
      <w:r w:rsidRPr="006A6317">
        <w:rPr>
          <w:rFonts w:ascii="Myriad Pro" w:hAnsi="Myriad Pro"/>
          <w:iCs/>
          <w:lang w:val="es-ES"/>
        </w:rPr>
        <w:t>Difusas referencias al pueblo, a la sociedad o a valoraciones cotidianas son completamente insuficientes para delimitar un injusto punible</w:t>
      </w:r>
      <w:r w:rsidRPr="006A6317">
        <w:rPr>
          <w:rFonts w:ascii="Myriad Pro" w:hAnsi="Myriad Pro"/>
          <w:lang w:val="es-ES"/>
        </w:rPr>
        <w:t xml:space="preserve"> […]. </w:t>
      </w:r>
      <w:r w:rsidRPr="006A6317">
        <w:rPr>
          <w:rFonts w:ascii="Myriad Pro" w:hAnsi="Myriad Pro"/>
          <w:iCs/>
          <w:lang w:val="es-ES"/>
        </w:rPr>
        <w:t xml:space="preserve">La forma de la adecuación social es por consiguiente </w:t>
      </w:r>
      <w:proofErr w:type="gramStart"/>
      <w:r w:rsidRPr="006A6317">
        <w:rPr>
          <w:rFonts w:ascii="Myriad Pro" w:hAnsi="Myriad Pro"/>
          <w:iCs/>
          <w:lang w:val="es-ES"/>
        </w:rPr>
        <w:t xml:space="preserve">un </w:t>
      </w:r>
      <w:r w:rsidRPr="006A6317">
        <w:rPr>
          <w:rFonts w:ascii="Myriad Pro" w:hAnsi="Myriad Pro"/>
          <w:lang w:val="es-ES"/>
        </w:rPr>
        <w:t>topos</w:t>
      </w:r>
      <w:proofErr w:type="gramEnd"/>
      <w:r w:rsidRPr="006A6317">
        <w:rPr>
          <w:rFonts w:ascii="Myriad Pro" w:hAnsi="Myriad Pro"/>
          <w:iCs/>
          <w:lang w:val="es-ES"/>
        </w:rPr>
        <w:t xml:space="preserve"> sin contenido. Lo que es socialmente adecuado es determinado por las valoraciones y principios del Derecho, y no al revés</w:t>
      </w:r>
      <w:r w:rsidRPr="006A6317">
        <w:rPr>
          <w:rFonts w:ascii="Myriad Pro" w:hAnsi="Myriad Pro"/>
        </w:rPr>
        <w:t>”</w:t>
      </w:r>
      <w:r w:rsidRPr="006A6317">
        <w:rPr>
          <w:rFonts w:ascii="Myriad Pro" w:hAnsi="Myriad Pro"/>
          <w:lang w:val="es-ES"/>
        </w:rPr>
        <w:t xml:space="preserve">. </w:t>
      </w:r>
    </w:p>
  </w:footnote>
  <w:footnote w:id="12">
    <w:p w14:paraId="3AB5C9E0" w14:textId="77777777" w:rsidR="006A7540" w:rsidRPr="006A6317" w:rsidRDefault="006A7540" w:rsidP="00C124A4">
      <w:pPr>
        <w:pStyle w:val="Textonotapie"/>
        <w:contextualSpacing/>
        <w:jc w:val="both"/>
        <w:rPr>
          <w:rFonts w:ascii="Myriad Pro" w:hAnsi="Myriad Pro"/>
        </w:rPr>
      </w:pPr>
      <w:r w:rsidRPr="006A6317">
        <w:rPr>
          <w:rStyle w:val="Caracteresdenotaalpie"/>
          <w:rFonts w:ascii="Myriad Pro" w:hAnsi="Myriad Pro"/>
          <w:vertAlign w:val="superscript"/>
          <w:lang w:val="es-ES"/>
        </w:rPr>
        <w:footnoteRef/>
      </w:r>
      <w:r w:rsidRPr="006A6317">
        <w:rPr>
          <w:rFonts w:ascii="Myriad Pro" w:hAnsi="Myriad Pro"/>
          <w:lang w:val="es-ES"/>
        </w:rPr>
        <w:t xml:space="preserve"> “El eslogan de la adecuación social ha recorrido una carrera académica impresionante y ya ha sido aceptada en la jurisprudencia de los tribunales superiores. En cualquier caso, dicho desarrollo lo llevó hacia un criterio jurídico difuso de exclusión del injusto, cuya necesidad, precisión del contenido y ubicación sistemática en la teoría del delito escasamente puede ser apreciado. Mientras de acuerdo a una opinión (Jakobs) ‘riesgo permitido’, ‘principio de confianza’ y ‘prohibición de regreso’ son comprendidas como explicaciones de la adecuación social, de acuerdo a otra opinión (Roxin) la falta de adecuación social es una directiva hermenéutica de la interpretación de los tipos penales”</w:t>
      </w:r>
      <w:r w:rsidRPr="006A6317">
        <w:rPr>
          <w:rFonts w:ascii="Myriad Pro" w:hAnsi="Myriad Pro"/>
        </w:rPr>
        <w:t>.</w:t>
      </w:r>
    </w:p>
  </w:footnote>
  <w:footnote w:id="13">
    <w:p w14:paraId="6B0E6A38" w14:textId="77777777" w:rsidR="006A7540" w:rsidRPr="006A6317" w:rsidRDefault="006A7540" w:rsidP="00C124A4">
      <w:pPr>
        <w:pStyle w:val="Textonotapie"/>
        <w:contextualSpacing/>
        <w:jc w:val="both"/>
        <w:rPr>
          <w:rFonts w:ascii="Myriad Pro" w:hAnsi="Myriad Pro"/>
          <w:lang w:val="es-ES"/>
        </w:rPr>
      </w:pPr>
      <w:r w:rsidRPr="006A6317">
        <w:rPr>
          <w:rStyle w:val="Caracteresdenotaalpie"/>
          <w:rFonts w:ascii="Myriad Pro" w:hAnsi="Myriad Pro"/>
          <w:vertAlign w:val="superscript"/>
          <w:lang w:val="es-ES"/>
        </w:rPr>
        <w:footnoteRef/>
      </w:r>
      <w:r w:rsidRPr="006A6317">
        <w:rPr>
          <w:rFonts w:ascii="Myriad Pro" w:hAnsi="Myriad Pro"/>
          <w:lang w:val="es-ES"/>
        </w:rPr>
        <w:t xml:space="preserve"> </w:t>
      </w:r>
      <w:r w:rsidRPr="006A6317">
        <w:rPr>
          <w:rFonts w:ascii="Myriad Pro" w:hAnsi="Myriad Pro"/>
        </w:rPr>
        <w:t>Quien</w:t>
      </w:r>
      <w:r w:rsidRPr="006A6317">
        <w:rPr>
          <w:rFonts w:ascii="Myriad Pro" w:hAnsi="Myriad Pro"/>
          <w:smallCaps/>
          <w:lang w:val="es-ES"/>
        </w:rPr>
        <w:t xml:space="preserve"> </w:t>
      </w:r>
      <w:r w:rsidRPr="006A6317">
        <w:rPr>
          <w:rFonts w:ascii="Myriad Pro" w:hAnsi="Myriad Pro"/>
          <w:lang w:val="es-ES"/>
        </w:rPr>
        <w:t>denomina también a la adecuación social como una “causa de justificación consuetudinaria”.</w:t>
      </w:r>
    </w:p>
  </w:footnote>
  <w:footnote w:id="14">
    <w:p w14:paraId="6287442F" w14:textId="77777777" w:rsidR="006A7540" w:rsidRPr="006A6317" w:rsidRDefault="006A7540" w:rsidP="00C124A4">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lang w:val="es-ES"/>
        </w:rPr>
        <w:t xml:space="preserve">ver </w:t>
      </w:r>
      <w:r w:rsidRPr="006A6317">
        <w:rPr>
          <w:rFonts w:ascii="Myriad Pro" w:hAnsi="Myriad Pro"/>
          <w:i/>
          <w:lang w:val="es-ES"/>
        </w:rPr>
        <w:t>infra</w:t>
      </w:r>
      <w:r w:rsidRPr="006A6317">
        <w:rPr>
          <w:rFonts w:ascii="Myriad Pro" w:hAnsi="Myriad Pro"/>
          <w:lang w:val="es-ES"/>
        </w:rPr>
        <w:t xml:space="preserve"> </w:t>
      </w:r>
      <w:hyperlink w:anchor="_1.3.1.Relación_de_sentido" w:history="1">
        <w:r w:rsidRPr="006A6317">
          <w:rPr>
            <w:rStyle w:val="Hipervnculo"/>
            <w:rFonts w:ascii="Myriad Pro" w:hAnsi="Myriad Pro"/>
            <w:color w:val="auto"/>
            <w:u w:val="none"/>
            <w:lang w:val="es-ES"/>
          </w:rPr>
          <w:t>1.3.1.</w:t>
        </w:r>
      </w:hyperlink>
    </w:p>
  </w:footnote>
  <w:footnote w:id="15">
    <w:p w14:paraId="7A4F9E4E" w14:textId="77777777" w:rsidR="006A7540" w:rsidRPr="006A6317" w:rsidRDefault="006A7540" w:rsidP="00C124A4">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lang w:val="es-ES"/>
        </w:rPr>
        <w:t xml:space="preserve">La posibilidad de utilizar cursos causales hipotéticos y de reserva es revisado y excluido en </w:t>
      </w:r>
      <w:r w:rsidRPr="006A6317">
        <w:rPr>
          <w:rFonts w:ascii="Myriad Pro" w:hAnsi="Myriad Pro"/>
          <w:i/>
          <w:lang w:val="es-ES"/>
        </w:rPr>
        <w:t xml:space="preserve">infra </w:t>
      </w:r>
      <w:hyperlink w:anchor="_1.1.4.2._La_libre" w:history="1">
        <w:r w:rsidRPr="006A6317">
          <w:rPr>
            <w:rStyle w:val="Hipervnculo"/>
            <w:rFonts w:ascii="Myriad Pro" w:hAnsi="Myriad Pro"/>
            <w:iCs/>
            <w:color w:val="auto"/>
            <w:u w:val="none"/>
            <w:lang w:val="es-ES"/>
          </w:rPr>
          <w:t>1.1.4.2.</w:t>
        </w:r>
      </w:hyperlink>
    </w:p>
  </w:footnote>
  <w:footnote w:id="16">
    <w:p w14:paraId="5B79115E" w14:textId="77777777" w:rsidR="006A7540" w:rsidRPr="006A6317" w:rsidRDefault="006A7540" w:rsidP="00C124A4">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Es, por ello, que son válidas aquí también las críticas formuladas en el apartado </w:t>
      </w:r>
      <w:r w:rsidRPr="006A6317">
        <w:rPr>
          <w:rFonts w:ascii="Myriad Pro" w:hAnsi="Myriad Pro"/>
          <w:i/>
          <w:iCs/>
        </w:rPr>
        <w:t xml:space="preserve">supra </w:t>
      </w:r>
      <w:hyperlink w:anchor="_1.1.2._Comportamiento_profesionalme" w:history="1">
        <w:r w:rsidRPr="006A6317">
          <w:rPr>
            <w:rStyle w:val="Hipervnculo"/>
            <w:rFonts w:ascii="Myriad Pro" w:hAnsi="Myriad Pro"/>
            <w:color w:val="auto"/>
            <w:u w:val="none"/>
          </w:rPr>
          <w:t>1.1.2</w:t>
        </w:r>
      </w:hyperlink>
    </w:p>
  </w:footnote>
  <w:footnote w:id="17">
    <w:p w14:paraId="642B7473" w14:textId="77777777" w:rsidR="006A7540" w:rsidRPr="006A6317" w:rsidRDefault="006A7540" w:rsidP="00175472">
      <w:pPr>
        <w:spacing w:after="0" w:line="240" w:lineRule="auto"/>
        <w:jc w:val="both"/>
        <w:rPr>
          <w:rFonts w:ascii="Myriad Pro" w:hAnsi="Myriad Pro"/>
          <w:iCs/>
          <w:sz w:val="20"/>
          <w:szCs w:val="20"/>
        </w:rPr>
      </w:pPr>
      <w:r w:rsidRPr="006A6317">
        <w:rPr>
          <w:rStyle w:val="Caracteresdenotaalpie"/>
          <w:rFonts w:ascii="Myriad Pro" w:hAnsi="Myriad Pro"/>
          <w:sz w:val="20"/>
          <w:szCs w:val="20"/>
          <w:vertAlign w:val="superscript"/>
          <w:lang w:val="es-ES"/>
        </w:rPr>
        <w:footnoteRef/>
      </w:r>
      <w:r w:rsidRPr="006A6317">
        <w:rPr>
          <w:rFonts w:ascii="Myriad Pro" w:hAnsi="Myriad Pro"/>
          <w:sz w:val="20"/>
          <w:szCs w:val="20"/>
          <w:lang w:val="es-ES"/>
        </w:rPr>
        <w:t xml:space="preserve"> Véase especialmente los ejemplos relativos al problema de las acciones “neutrales”. </w:t>
      </w:r>
    </w:p>
  </w:footnote>
  <w:footnote w:id="18">
    <w:p w14:paraId="692B313C" w14:textId="77777777" w:rsidR="006A7540" w:rsidRPr="006A6317" w:rsidRDefault="006A7540" w:rsidP="00262FED">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Tribunal del Rey</w:t>
      </w:r>
    </w:p>
  </w:footnote>
  <w:footnote w:id="19">
    <w:p w14:paraId="40C73186" w14:textId="752A9B01" w:rsidR="006A7540" w:rsidRPr="006A6317" w:rsidRDefault="006A7540">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Tribunal Supremo Suizo</w:t>
      </w:r>
    </w:p>
  </w:footnote>
  <w:footnote w:id="20">
    <w:p w14:paraId="390CC2FC" w14:textId="77777777" w:rsidR="006A7540" w:rsidRPr="006A6317" w:rsidRDefault="006A7540" w:rsidP="00262FED">
      <w:pPr>
        <w:spacing w:after="0" w:line="240" w:lineRule="auto"/>
        <w:jc w:val="both"/>
        <w:rPr>
          <w:rFonts w:ascii="Myriad Pro" w:hAnsi="Myriad Pro"/>
          <w:sz w:val="20"/>
          <w:szCs w:val="20"/>
          <w:lang w:val="es-ES"/>
        </w:rPr>
      </w:pPr>
      <w:r w:rsidRPr="006A6317">
        <w:rPr>
          <w:rStyle w:val="Caracteresdenotaalpie"/>
          <w:rFonts w:ascii="Myriad Pro" w:hAnsi="Myriad Pro"/>
          <w:sz w:val="20"/>
          <w:szCs w:val="20"/>
          <w:vertAlign w:val="superscript"/>
          <w:lang w:val="es-ES"/>
        </w:rPr>
        <w:footnoteRef/>
      </w:r>
      <w:r w:rsidRPr="006A6317">
        <w:rPr>
          <w:rFonts w:ascii="Myriad Pro" w:hAnsi="Myriad Pro"/>
          <w:sz w:val="20"/>
          <w:szCs w:val="20"/>
          <w:lang w:val="es-ES"/>
        </w:rPr>
        <w:t xml:space="preserve"> Resulta evidente apreciar una evolución en la teoría de </w:t>
      </w:r>
      <w:r w:rsidRPr="006A6317">
        <w:rPr>
          <w:rFonts w:ascii="Myriad Pro" w:hAnsi="Myriad Pro" w:cs="Times New Roman (Cuerpo en alfa"/>
          <w:sz w:val="20"/>
          <w:szCs w:val="20"/>
          <w:lang w:val="es-ES"/>
        </w:rPr>
        <w:t>Jakobs</w:t>
      </w:r>
      <w:r w:rsidRPr="006A6317">
        <w:rPr>
          <w:rFonts w:ascii="Myriad Pro" w:hAnsi="Myriad Pro"/>
          <w:sz w:val="20"/>
          <w:szCs w:val="20"/>
          <w:lang w:val="es-ES"/>
        </w:rPr>
        <w:t xml:space="preserve"> entre los artículos sobre la prohib</w:t>
      </w:r>
      <w:r w:rsidRPr="006A6317">
        <w:rPr>
          <w:rFonts w:ascii="Myriad Pro" w:hAnsi="Myriad Pro"/>
          <w:sz w:val="20"/>
          <w:szCs w:val="20"/>
          <w:lang w:val="es-ES"/>
        </w:rPr>
        <w:t>i</w:t>
      </w:r>
      <w:r w:rsidRPr="006A6317">
        <w:rPr>
          <w:rFonts w:ascii="Myriad Pro" w:hAnsi="Myriad Pro"/>
          <w:sz w:val="20"/>
          <w:szCs w:val="20"/>
          <w:lang w:val="es-ES"/>
        </w:rPr>
        <w:t xml:space="preserve">ción de regreso de 1977 y la teoría de la participación de </w:t>
      </w:r>
      <w:r w:rsidRPr="006A6317">
        <w:rPr>
          <w:rFonts w:ascii="Myriad Pro" w:hAnsi="Myriad Pro"/>
          <w:sz w:val="20"/>
          <w:szCs w:val="20"/>
        </w:rPr>
        <w:t>2014</w:t>
      </w:r>
      <w:r w:rsidRPr="006A6317">
        <w:rPr>
          <w:rFonts w:ascii="Myriad Pro" w:hAnsi="Myriad Pro"/>
          <w:sz w:val="20"/>
          <w:szCs w:val="20"/>
          <w:lang w:val="es-ES"/>
        </w:rPr>
        <w:t>. En primer lugar, porque en la primera versión se considera con especial relevancia el plan delictivo del autor, importancia que posteriorme</w:t>
      </w:r>
      <w:r w:rsidRPr="006A6317">
        <w:rPr>
          <w:rFonts w:ascii="Myriad Pro" w:hAnsi="Myriad Pro"/>
          <w:sz w:val="20"/>
          <w:szCs w:val="20"/>
          <w:lang w:val="es-ES"/>
        </w:rPr>
        <w:t>n</w:t>
      </w:r>
      <w:r w:rsidRPr="006A6317">
        <w:rPr>
          <w:rFonts w:ascii="Myriad Pro" w:hAnsi="Myriad Pro"/>
          <w:sz w:val="20"/>
          <w:szCs w:val="20"/>
          <w:lang w:val="es-ES"/>
        </w:rPr>
        <w:t xml:space="preserve">te decrece, y, en segundo lugar, porque en sus escritos posteriores gana en relevancia la idea de rol. Es por ello que el propio </w:t>
      </w:r>
      <w:r w:rsidRPr="006A6317">
        <w:rPr>
          <w:rFonts w:ascii="Myriad Pro" w:hAnsi="Myriad Pro"/>
          <w:sz w:val="20"/>
          <w:szCs w:val="20"/>
        </w:rPr>
        <w:t xml:space="preserve">Jakobs </w:t>
      </w:r>
      <w:r w:rsidRPr="006A6317">
        <w:rPr>
          <w:rFonts w:ascii="Myriad Pro" w:hAnsi="Myriad Pro"/>
          <w:sz w:val="20"/>
          <w:szCs w:val="20"/>
          <w:lang w:val="es-ES"/>
        </w:rPr>
        <w:t xml:space="preserve">denomina a su teoría previa como una solución orientada hacia un claro sentido subjetivo. La propuesta teórica expuesta aquí se basa principalmente en su teoría posterior. </w:t>
      </w:r>
    </w:p>
  </w:footnote>
  <w:footnote w:id="21">
    <w:p w14:paraId="39A0FE83" w14:textId="77777777" w:rsidR="006A7540" w:rsidRPr="006A6317" w:rsidRDefault="006A7540" w:rsidP="00262FED">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“la prohibición de regreso no deroga deberes preexistentes, sino que declara que el comportamie</w:t>
      </w:r>
      <w:r w:rsidRPr="006A6317">
        <w:rPr>
          <w:rFonts w:ascii="Myriad Pro" w:hAnsi="Myriad Pro"/>
        </w:rPr>
        <w:t>n</w:t>
      </w:r>
      <w:r w:rsidRPr="006A6317">
        <w:rPr>
          <w:rFonts w:ascii="Myriad Pro" w:hAnsi="Myriad Pro"/>
        </w:rPr>
        <w:t>to actual aislado no es suficiente per se para fundar responsabilidad”.</w:t>
      </w:r>
    </w:p>
  </w:footnote>
  <w:footnote w:id="22">
    <w:p w14:paraId="7050AD92" w14:textId="77777777" w:rsidR="006A7540" w:rsidRPr="006A6317" w:rsidRDefault="006A7540" w:rsidP="00262FED">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cs="Times New Roman"/>
          <w:lang w:val="es-ES"/>
        </w:rPr>
        <w:t>“Selectividad, complejidad y contingencia desestabilizadora de estructuras de expectativas son también una necesidad vital”.</w:t>
      </w:r>
    </w:p>
  </w:footnote>
  <w:footnote w:id="23">
    <w:p w14:paraId="621FACE7" w14:textId="77777777" w:rsidR="006A7540" w:rsidRPr="006A6317" w:rsidRDefault="006A7540" w:rsidP="00262FED">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lang w:val="es-ES"/>
        </w:rPr>
        <w:t>“Ta</w:t>
      </w:r>
      <w:r w:rsidRPr="006A6317">
        <w:rPr>
          <w:rFonts w:ascii="Myriad Pro" w:hAnsi="Myriad Pro"/>
          <w:iCs/>
          <w:lang w:val="es-ES"/>
        </w:rPr>
        <w:t>nto comportamientos profesionales como generalmente adecuados a un rol no constituyen una especialidad y, sobre todo, no constituye un asunto independiente para la imputación objetiva</w:t>
      </w:r>
      <w:r w:rsidRPr="006A6317">
        <w:rPr>
          <w:rFonts w:ascii="Myriad Pro" w:hAnsi="Myriad Pro"/>
          <w:lang w:val="es-ES"/>
        </w:rPr>
        <w:t>”.</w:t>
      </w:r>
    </w:p>
  </w:footnote>
  <w:footnote w:id="24">
    <w:p w14:paraId="7439054A" w14:textId="77777777" w:rsidR="006A7540" w:rsidRPr="006A6317" w:rsidRDefault="006A7540" w:rsidP="00262FED">
      <w:pPr>
        <w:pStyle w:val="Textonotapie"/>
        <w:contextualSpacing/>
        <w:jc w:val="both"/>
        <w:rPr>
          <w:rFonts w:ascii="Myriad Pro" w:hAnsi="Myriad Pro"/>
          <w:lang w:val="es-ES"/>
        </w:rPr>
      </w:pPr>
      <w:r w:rsidRPr="006A6317">
        <w:rPr>
          <w:rStyle w:val="Caracteresdenotaalpie"/>
          <w:rFonts w:ascii="Myriad Pro" w:hAnsi="Myriad Pro"/>
          <w:vertAlign w:val="superscript"/>
          <w:lang w:val="es-ES"/>
        </w:rPr>
        <w:footnoteRef/>
      </w:r>
      <w:r w:rsidRPr="006A6317">
        <w:rPr>
          <w:rFonts w:ascii="Myriad Pro" w:hAnsi="Myriad Pro"/>
          <w:lang w:val="es-ES"/>
        </w:rPr>
        <w:t xml:space="preserve"> Es por ello que esta teoría padece similares críticas a las formuladas en contra de la teoría de la ad</w:t>
      </w:r>
      <w:r w:rsidRPr="006A6317">
        <w:rPr>
          <w:rFonts w:ascii="Myriad Pro" w:hAnsi="Myriad Pro"/>
          <w:lang w:val="es-ES"/>
        </w:rPr>
        <w:t>e</w:t>
      </w:r>
      <w:r w:rsidRPr="006A6317">
        <w:rPr>
          <w:rFonts w:ascii="Myriad Pro" w:hAnsi="Myriad Pro"/>
          <w:lang w:val="es-ES"/>
        </w:rPr>
        <w:t xml:space="preserve">cuación social. Ver </w:t>
      </w:r>
      <w:r w:rsidRPr="006A6317">
        <w:rPr>
          <w:rFonts w:ascii="Myriad Pro" w:hAnsi="Myriad Pro"/>
          <w:i/>
          <w:lang w:val="es-ES"/>
        </w:rPr>
        <w:t xml:space="preserve">supra </w:t>
      </w:r>
      <w:hyperlink w:anchor="1.1.1. La atipicidad de los comportamientos socialmente adecuados" w:history="1">
        <w:r w:rsidRPr="006A6317">
          <w:rPr>
            <w:rStyle w:val="Hipervnculo"/>
            <w:rFonts w:ascii="Myriad Pro" w:hAnsi="Myriad Pro"/>
            <w:iCs/>
            <w:color w:val="auto"/>
            <w:u w:val="none"/>
            <w:lang w:val="es-ES"/>
          </w:rPr>
          <w:t>1.1.1</w:t>
        </w:r>
        <w:r w:rsidRPr="006A6317">
          <w:rPr>
            <w:rStyle w:val="Hipervnculo"/>
            <w:rFonts w:ascii="Myriad Pro" w:hAnsi="Myriad Pro"/>
            <w:color w:val="auto"/>
            <w:u w:val="none"/>
            <w:lang w:val="es-ES"/>
          </w:rPr>
          <w:t>.</w:t>
        </w:r>
      </w:hyperlink>
    </w:p>
  </w:footnote>
  <w:footnote w:id="25">
    <w:p w14:paraId="278D203F" w14:textId="77777777" w:rsidR="006A7540" w:rsidRPr="006A6317" w:rsidRDefault="006A7540" w:rsidP="00262FED">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lang w:val="es-ES"/>
        </w:rPr>
        <w:t xml:space="preserve"> “E</w:t>
      </w:r>
      <w:r w:rsidRPr="006A6317">
        <w:rPr>
          <w:rFonts w:ascii="Myriad Pro" w:hAnsi="Myriad Pro"/>
          <w:iCs/>
          <w:lang w:val="es-ES"/>
        </w:rPr>
        <w:t>s punible como cómplice quien realiza una acción dolosa para apoyar un hecho antijurídico de otro, en tanto su acción de hecho tenga un efecto colaborador con la acción principal ejecutada o al menos intentada</w:t>
      </w:r>
      <w:r w:rsidRPr="006A6317">
        <w:rPr>
          <w:rFonts w:ascii="Myriad Pro" w:hAnsi="Myriad Pro"/>
          <w:lang w:val="es-ES"/>
        </w:rPr>
        <w:t xml:space="preserve">”. </w:t>
      </w:r>
    </w:p>
  </w:footnote>
  <w:footnote w:id="26">
    <w:p w14:paraId="6F4AD8CD" w14:textId="35025813" w:rsidR="006A7540" w:rsidRPr="006A6317" w:rsidRDefault="006A7540">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L</w:t>
      </w:r>
      <w:r w:rsidRPr="006A6317">
        <w:rPr>
          <w:rFonts w:ascii="Myriad Pro" w:hAnsi="Myriad Pro"/>
          <w:lang w:val="es-ES"/>
        </w:rPr>
        <w:t xml:space="preserve">a posibilidad de utilizar causas de reserva o cursos causales hipotéticos es revisado y descartado en el apartado </w:t>
      </w:r>
      <w:hyperlink w:anchor="_1.1.4.2._La_libre" w:history="1">
        <w:r w:rsidRPr="006A6317">
          <w:rPr>
            <w:rStyle w:val="Hipervnculo"/>
            <w:rFonts w:ascii="Myriad Pro" w:hAnsi="Myriad Pro"/>
            <w:color w:val="auto"/>
            <w:u w:val="none"/>
            <w:lang w:val="es-ES"/>
          </w:rPr>
          <w:t>1.1.4.2.</w:t>
        </w:r>
      </w:hyperlink>
    </w:p>
  </w:footnote>
  <w:footnote w:id="27">
    <w:p w14:paraId="27C8F931" w14:textId="77777777" w:rsidR="006A7540" w:rsidRPr="006A6317" w:rsidRDefault="006A7540" w:rsidP="00F4317A">
      <w:pPr>
        <w:spacing w:after="0" w:line="240" w:lineRule="auto"/>
        <w:jc w:val="both"/>
        <w:rPr>
          <w:rFonts w:ascii="Myriad Pro" w:hAnsi="Myriad Pro"/>
          <w:sz w:val="20"/>
          <w:szCs w:val="20"/>
        </w:rPr>
      </w:pPr>
      <w:r w:rsidRPr="006A6317">
        <w:rPr>
          <w:rStyle w:val="Caracteresdenotaalpie"/>
          <w:rFonts w:ascii="Myriad Pro" w:hAnsi="Myriad Pro"/>
          <w:sz w:val="20"/>
          <w:szCs w:val="20"/>
          <w:vertAlign w:val="superscript"/>
        </w:rPr>
        <w:footnoteRef/>
      </w:r>
      <w:r w:rsidRPr="006A6317">
        <w:rPr>
          <w:rFonts w:ascii="Myriad Pro" w:hAnsi="Myriad Pro"/>
          <w:sz w:val="20"/>
          <w:szCs w:val="20"/>
        </w:rPr>
        <w:t xml:space="preserve"> </w:t>
      </w:r>
      <w:r w:rsidRPr="006A6317">
        <w:rPr>
          <w:rFonts w:ascii="Myriad Pro" w:hAnsi="Myriad Pro"/>
          <w:sz w:val="20"/>
          <w:szCs w:val="20"/>
          <w:lang w:val="es-ES"/>
        </w:rPr>
        <w:t xml:space="preserve">“Si el hecho principal del autor está impregnado por la conducción del curso causal, en relación a su configuración y decisión, entonces la intensidad del dominio del hecho es elevada a través de una complicidad efectiva y, con ello, se eleva el riesgo de que el hecho punible resulte en el sentido deseado por el autor”. </w:t>
      </w:r>
    </w:p>
  </w:footnote>
  <w:footnote w:id="28">
    <w:p w14:paraId="136B2450" w14:textId="2437A078" w:rsidR="006A7540" w:rsidRPr="009F33BF" w:rsidRDefault="006A7540" w:rsidP="009F33BF">
      <w:pPr>
        <w:pStyle w:val="Textonotapie"/>
        <w:jc w:val="both"/>
        <w:rPr>
          <w:rFonts w:ascii="Myriad Pro" w:hAnsi="Myriad Pro"/>
        </w:rPr>
      </w:pPr>
      <w:r w:rsidRPr="009F33BF">
        <w:rPr>
          <w:rStyle w:val="Refdenotaalpie"/>
          <w:rFonts w:ascii="Myriad Pro" w:hAnsi="Myriad Pro"/>
        </w:rPr>
        <w:footnoteRef/>
      </w:r>
      <w:r w:rsidRPr="009F33BF">
        <w:rPr>
          <w:rFonts w:ascii="Myriad Pro" w:hAnsi="Myriad Pro"/>
        </w:rPr>
        <w:t xml:space="preserve"> </w:t>
      </w:r>
      <w:r>
        <w:rPr>
          <w:rFonts w:ascii="Myriad Pro" w:hAnsi="Myriad Pro"/>
          <w:lang w:val="es-ES"/>
        </w:rPr>
        <w:t>V</w:t>
      </w:r>
      <w:r w:rsidRPr="009F33BF">
        <w:rPr>
          <w:rFonts w:ascii="Myriad Pro" w:hAnsi="Myriad Pro"/>
        </w:rPr>
        <w:t xml:space="preserve">er </w:t>
      </w:r>
      <w:hyperlink w:anchor="_1.1.4.2._La_libre" w:history="1">
        <w:r w:rsidRPr="009F33BF">
          <w:rPr>
            <w:rStyle w:val="Hipervnculo"/>
            <w:rFonts w:ascii="Myriad Pro" w:hAnsi="Myriad Pro"/>
            <w:color w:val="auto"/>
            <w:u w:val="none"/>
          </w:rPr>
          <w:t>1.1.4.2.</w:t>
        </w:r>
      </w:hyperlink>
    </w:p>
  </w:footnote>
  <w:footnote w:id="29">
    <w:p w14:paraId="640C8286" w14:textId="77777777" w:rsidR="006A7540" w:rsidRPr="006A6317" w:rsidRDefault="006A7540" w:rsidP="00F4317A">
      <w:pPr>
        <w:spacing w:after="0" w:line="240" w:lineRule="auto"/>
        <w:jc w:val="both"/>
        <w:rPr>
          <w:rFonts w:ascii="Myriad Pro" w:hAnsi="Myriad Pro"/>
          <w:sz w:val="20"/>
          <w:szCs w:val="20"/>
        </w:rPr>
      </w:pPr>
      <w:r w:rsidRPr="006A6317">
        <w:rPr>
          <w:rStyle w:val="Caracteresdenotaalpie"/>
          <w:rFonts w:ascii="Myriad Pro" w:hAnsi="Myriad Pro"/>
          <w:sz w:val="20"/>
          <w:szCs w:val="20"/>
          <w:vertAlign w:val="superscript"/>
        </w:rPr>
        <w:footnoteRef/>
      </w:r>
      <w:r w:rsidRPr="006A6317">
        <w:rPr>
          <w:rFonts w:ascii="Myriad Pro" w:hAnsi="Myriad Pro"/>
          <w:sz w:val="20"/>
          <w:szCs w:val="20"/>
          <w:lang w:val="es-ES"/>
        </w:rPr>
        <w:t xml:space="preserve"> Dicho conocimiento se presentaría al contrario en un caso en que el comprador del objeto se e</w:t>
      </w:r>
      <w:r w:rsidRPr="006A6317">
        <w:rPr>
          <w:rFonts w:ascii="Myriad Pro" w:hAnsi="Myriad Pro"/>
          <w:sz w:val="20"/>
          <w:szCs w:val="20"/>
          <w:lang w:val="es-ES"/>
        </w:rPr>
        <w:t>n</w:t>
      </w:r>
      <w:r w:rsidRPr="006A6317">
        <w:rPr>
          <w:rFonts w:ascii="Myriad Pro" w:hAnsi="Myriad Pro"/>
          <w:sz w:val="20"/>
          <w:szCs w:val="20"/>
          <w:lang w:val="es-ES"/>
        </w:rPr>
        <w:t>cuentre en una pelea en la cual requiera inhabilitar a su contendor y el vendedor le entrega sencill</w:t>
      </w:r>
      <w:r w:rsidRPr="006A6317">
        <w:rPr>
          <w:rFonts w:ascii="Myriad Pro" w:hAnsi="Myriad Pro"/>
          <w:sz w:val="20"/>
          <w:szCs w:val="20"/>
          <w:lang w:val="es-ES"/>
        </w:rPr>
        <w:t>a</w:t>
      </w:r>
      <w:r w:rsidRPr="006A6317">
        <w:rPr>
          <w:rFonts w:ascii="Myriad Pro" w:hAnsi="Myriad Pro"/>
          <w:sz w:val="20"/>
          <w:szCs w:val="20"/>
          <w:lang w:val="es-ES"/>
        </w:rPr>
        <w:t>mente un objeto idóneo para ello.</w:t>
      </w:r>
    </w:p>
  </w:footnote>
  <w:footnote w:id="30">
    <w:p w14:paraId="4EF83196" w14:textId="77777777" w:rsidR="006A7540" w:rsidRPr="006A6317" w:rsidRDefault="006A7540" w:rsidP="00F4317A">
      <w:pPr>
        <w:pStyle w:val="Textonotapie"/>
        <w:contextualSpacing/>
        <w:jc w:val="both"/>
        <w:rPr>
          <w:rFonts w:ascii="Myriad Pro" w:hAnsi="Myriad Pro"/>
          <w:lang w:val="es-ES"/>
        </w:rPr>
      </w:pPr>
      <w:r w:rsidRPr="006A6317">
        <w:rPr>
          <w:rStyle w:val="Caracteresdenotaalpie"/>
          <w:rFonts w:ascii="Myriad Pro" w:hAnsi="Myriad Pro"/>
          <w:vertAlign w:val="superscript"/>
        </w:rPr>
        <w:footnoteRef/>
      </w:r>
      <w:r w:rsidRPr="006A6317">
        <w:rPr>
          <w:rFonts w:ascii="Myriad Pro" w:hAnsi="Myriad Pro"/>
        </w:rPr>
        <w:t xml:space="preserve"> </w:t>
      </w:r>
      <w:r w:rsidRPr="006A6317">
        <w:rPr>
          <w:rFonts w:ascii="Myriad Pro" w:hAnsi="Myriad Pro"/>
          <w:lang w:val="es-ES"/>
        </w:rPr>
        <w:t xml:space="preserve">La posibilidad de utilizar causas de reserva o cursos causales hipotéticos es revisado y descartado en el apartado </w:t>
      </w:r>
      <w:hyperlink w:anchor="1.1.4.2. La libre y general disponibilidad de una prestación y la consideración de la relación espacio-temporal entre la entrega y la acción principal como criterios normativos de carácter restrictivo propios de la imputación objetiva" w:history="1">
        <w:r w:rsidRPr="006A6317">
          <w:rPr>
            <w:rStyle w:val="Hipervnculo"/>
            <w:rFonts w:ascii="Myriad Pro" w:hAnsi="Myriad Pro"/>
            <w:color w:val="auto"/>
            <w:u w:val="none"/>
            <w:lang w:val="es-ES"/>
          </w:rPr>
          <w:t>1.1.4.2.</w:t>
        </w:r>
      </w:hyperlink>
      <w:r w:rsidRPr="006A6317">
        <w:rPr>
          <w:rFonts w:ascii="Myriad Pro" w:hAnsi="Myriad Pro"/>
          <w:lang w:val="es-ES"/>
        </w:rPr>
        <w:t xml:space="preserve"> </w:t>
      </w:r>
    </w:p>
  </w:footnote>
  <w:footnote w:id="31">
    <w:p w14:paraId="5E21F6F2" w14:textId="45EAD7A9" w:rsidR="006A7540" w:rsidRPr="006A6317" w:rsidRDefault="006A7540" w:rsidP="00635592">
      <w:pPr>
        <w:pStyle w:val="Textonotapie"/>
        <w:jc w:val="both"/>
        <w:rPr>
          <w:rFonts w:ascii="Myriad Pro" w:hAnsi="Myriad Pro"/>
          <w:lang w:val="es-ES"/>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cs="Times New Roman"/>
          <w:lang w:val="es-ES"/>
        </w:rPr>
        <w:t xml:space="preserve">Para diferenciar a esta postura respecto de aquella que sostiene que la relación de sentido delictivo solo tiene una naturaleza objetiva, en los términos propuestos por </w:t>
      </w:r>
      <w:r w:rsidRPr="006A6317">
        <w:rPr>
          <w:rFonts w:ascii="Myriad Pro" w:hAnsi="Myriad Pro"/>
        </w:rPr>
        <w:t>Frisch</w:t>
      </w:r>
      <w:r w:rsidRPr="006A6317">
        <w:rPr>
          <w:rFonts w:ascii="Myriad Pro" w:hAnsi="Myriad Pro" w:cs="Times New Roman"/>
          <w:lang w:val="es-ES"/>
        </w:rPr>
        <w:t xml:space="preserve">, ver </w:t>
      </w:r>
      <w:r w:rsidRPr="006A6317">
        <w:rPr>
          <w:rFonts w:ascii="Myriad Pro" w:hAnsi="Myriad Pro" w:cs="Times New Roman"/>
          <w:i/>
          <w:iCs/>
          <w:lang w:val="es-ES"/>
        </w:rPr>
        <w:t>supra</w:t>
      </w:r>
      <w:r w:rsidRPr="006A6317">
        <w:rPr>
          <w:rFonts w:ascii="Myriad Pro" w:hAnsi="Myriad Pro" w:cs="Times New Roman"/>
          <w:lang w:val="es-ES"/>
        </w:rPr>
        <w:t xml:space="preserve"> </w:t>
      </w:r>
      <w:hyperlink r:id="rId1" w:anchor="1.1.3. Restricción objetiva de la punibilidad a una " w:history="1">
        <w:r w:rsidRPr="006A6317">
          <w:rPr>
            <w:rStyle w:val="Hipervnculo"/>
            <w:rFonts w:ascii="Myriad Pro" w:hAnsi="Myriad Pro" w:cs="Times New Roman"/>
            <w:color w:val="auto"/>
            <w:u w:val="none"/>
            <w:lang w:val="es-ES"/>
          </w:rPr>
          <w:t>1.1.3.</w:t>
        </w:r>
      </w:hyperlink>
      <w:r w:rsidRPr="006A6317">
        <w:rPr>
          <w:rFonts w:ascii="Myriad Pro" w:hAnsi="Myriad Pro" w:cs="Times New Roman"/>
          <w:lang w:val="es-ES"/>
        </w:rPr>
        <w:t xml:space="preserve"> </w:t>
      </w:r>
    </w:p>
  </w:footnote>
  <w:footnote w:id="32">
    <w:p w14:paraId="327F26FA"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bCs/>
          <w:iCs/>
          <w:lang w:val="es-ES"/>
        </w:rPr>
        <w:t>“El colaborador conoce la decisión delictiva del autor o solo cuenta con un comportamiento delict</w:t>
      </w:r>
      <w:r w:rsidRPr="006A6317">
        <w:rPr>
          <w:rFonts w:ascii="Myriad Pro" w:hAnsi="Myriad Pro"/>
          <w:bCs/>
          <w:iCs/>
          <w:lang w:val="es-ES"/>
        </w:rPr>
        <w:t>i</w:t>
      </w:r>
      <w:r w:rsidRPr="006A6317">
        <w:rPr>
          <w:rFonts w:ascii="Myriad Pro" w:hAnsi="Myriad Pro"/>
          <w:bCs/>
          <w:iCs/>
          <w:lang w:val="es-ES"/>
        </w:rPr>
        <w:t>vo del autor”</w:t>
      </w:r>
      <w:r w:rsidRPr="006A6317">
        <w:rPr>
          <w:rFonts w:ascii="Myriad Pro" w:hAnsi="Myriad Pro"/>
          <w:bCs/>
          <w:lang w:val="es-ES"/>
        </w:rPr>
        <w:t>.</w:t>
      </w:r>
    </w:p>
  </w:footnote>
  <w:footnote w:id="33">
    <w:p w14:paraId="5307178A"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iCs/>
          <w:lang w:val="es-ES"/>
        </w:rPr>
        <w:t>si la conducta colaboradora se refiere a una acción legal que para el autor ya en si misma es útil, independiente de que sea además un presupuesto para el comportamiento delictivo basado en una decisión autónoma</w:t>
      </w:r>
      <w:r w:rsidRPr="006A6317">
        <w:rPr>
          <w:rFonts w:ascii="Myriad Pro" w:hAnsi="Myriad Pro"/>
          <w:lang w:val="es-ES"/>
        </w:rPr>
        <w:t xml:space="preserve">”. </w:t>
      </w:r>
    </w:p>
  </w:footnote>
  <w:footnote w:id="34">
    <w:p w14:paraId="521EF75A" w14:textId="77777777" w:rsidR="006A7540" w:rsidRPr="006A6317" w:rsidRDefault="006A7540" w:rsidP="00635592">
      <w:pPr>
        <w:pStyle w:val="Textonotapie"/>
        <w:contextualSpacing/>
        <w:jc w:val="both"/>
        <w:rPr>
          <w:rFonts w:ascii="Myriad Pro" w:hAnsi="Myriad Pro"/>
          <w:lang w:val="es-ES"/>
        </w:rPr>
      </w:pPr>
      <w:r w:rsidRPr="006A6317">
        <w:rPr>
          <w:rStyle w:val="Caracteresdenotaalpie"/>
          <w:rFonts w:ascii="Myriad Pro" w:hAnsi="Myriad Pro"/>
          <w:vertAlign w:val="superscript"/>
        </w:rPr>
        <w:footnoteRef/>
      </w:r>
      <w:r w:rsidRPr="006A6317">
        <w:rPr>
          <w:rFonts w:ascii="Myriad Pro" w:hAnsi="Myriad Pro" w:cs="Times New Roman"/>
        </w:rPr>
        <w:t xml:space="preserve"> Ver </w:t>
      </w:r>
      <w:r w:rsidRPr="006A6317">
        <w:rPr>
          <w:rFonts w:ascii="Myriad Pro" w:hAnsi="Myriad Pro" w:cs="Times New Roman"/>
          <w:i/>
          <w:iCs/>
        </w:rPr>
        <w:t>supra</w:t>
      </w:r>
      <w:r w:rsidRPr="006A6317">
        <w:rPr>
          <w:rFonts w:ascii="Myriad Pro" w:hAnsi="Myriad Pro" w:cs="Times New Roman"/>
        </w:rPr>
        <w:t xml:space="preserve"> </w:t>
      </w:r>
      <w:hyperlink w:anchor="1.3.2. El criterio de la jurisprudencia" w:history="1">
        <w:r w:rsidRPr="006A6317">
          <w:rPr>
            <w:rStyle w:val="Hipervnculo"/>
            <w:rFonts w:ascii="Myriad Pro" w:hAnsi="Myriad Pro" w:cs="Times New Roman"/>
            <w:color w:val="auto"/>
            <w:u w:val="none"/>
          </w:rPr>
          <w:t>1.3.2</w:t>
        </w:r>
        <w:r w:rsidRPr="006A6317">
          <w:rPr>
            <w:rStyle w:val="Hipervnculo"/>
            <w:rFonts w:ascii="Myriad Pro" w:hAnsi="Myriad Pro" w:cs="Times New Roman"/>
            <w:color w:val="auto"/>
            <w:u w:val="none"/>
            <w:lang w:val="es-ES"/>
          </w:rPr>
          <w:t>.</w:t>
        </w:r>
      </w:hyperlink>
      <w:r w:rsidRPr="006A6317">
        <w:rPr>
          <w:rFonts w:ascii="Myriad Pro" w:hAnsi="Myriad Pro" w:cs="Times New Roman"/>
          <w:lang w:val="es-ES"/>
        </w:rPr>
        <w:t xml:space="preserve"> </w:t>
      </w:r>
    </w:p>
  </w:footnote>
  <w:footnote w:id="35">
    <w:p w14:paraId="639C7A54"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lang w:val="es-ES"/>
        </w:rPr>
        <w:t>“</w:t>
      </w:r>
      <w:r w:rsidRPr="006A6317">
        <w:rPr>
          <w:rFonts w:ascii="Myriad Pro" w:hAnsi="Myriad Pro"/>
          <w:iCs/>
          <w:lang w:val="es-ES"/>
        </w:rPr>
        <w:t>Si la acción del autor principal se dirige exclusivamente a cometer una acción delictiva, y ello es conocido por el colaborador, entonces su acción colaborativa debe ser evaluada como acción de complicidad</w:t>
      </w:r>
      <w:r w:rsidRPr="006A6317">
        <w:rPr>
          <w:rFonts w:ascii="Myriad Pro" w:hAnsi="Myriad Pro"/>
          <w:lang w:val="es-ES"/>
        </w:rPr>
        <w:t xml:space="preserve"> [...] S</w:t>
      </w:r>
      <w:r w:rsidRPr="006A6317">
        <w:rPr>
          <w:rFonts w:ascii="Myriad Pro" w:hAnsi="Myriad Pro"/>
          <w:iCs/>
          <w:lang w:val="es-ES"/>
        </w:rPr>
        <w:t>i el colaborador al contrario no conoce cómo será utilizada su contribución ya pre</w:t>
      </w:r>
      <w:r w:rsidRPr="006A6317">
        <w:rPr>
          <w:rFonts w:ascii="Myriad Pro" w:hAnsi="Myriad Pro"/>
          <w:iCs/>
          <w:lang w:val="es-ES"/>
        </w:rPr>
        <w:t>s</w:t>
      </w:r>
      <w:r w:rsidRPr="006A6317">
        <w:rPr>
          <w:rFonts w:ascii="Myriad Pro" w:hAnsi="Myriad Pro"/>
          <w:iCs/>
          <w:lang w:val="es-ES"/>
        </w:rPr>
        <w:t>tada al autor, pero cree solamente como posible que su actuar será usada para cometer un hecho delictivo, entonces su acción no debe ser evaluada en términos generales como una acción de co</w:t>
      </w:r>
      <w:r w:rsidRPr="006A6317">
        <w:rPr>
          <w:rFonts w:ascii="Myriad Pro" w:hAnsi="Myriad Pro"/>
          <w:iCs/>
          <w:lang w:val="es-ES"/>
        </w:rPr>
        <w:t>m</w:t>
      </w:r>
      <w:r w:rsidRPr="006A6317">
        <w:rPr>
          <w:rFonts w:ascii="Myriad Pro" w:hAnsi="Myriad Pro"/>
          <w:iCs/>
          <w:lang w:val="es-ES"/>
        </w:rPr>
        <w:t>plicidad punible, a menos que el riesgo reconocible de un comportamiento punible para el colabor</w:t>
      </w:r>
      <w:r w:rsidRPr="006A6317">
        <w:rPr>
          <w:rFonts w:ascii="Myriad Pro" w:hAnsi="Myriad Pro"/>
          <w:iCs/>
          <w:lang w:val="es-ES"/>
        </w:rPr>
        <w:t>a</w:t>
      </w:r>
      <w:r w:rsidRPr="006A6317">
        <w:rPr>
          <w:rFonts w:ascii="Myriad Pro" w:hAnsi="Myriad Pro"/>
          <w:iCs/>
          <w:lang w:val="es-ES"/>
        </w:rPr>
        <w:t>dor sea tan alto que él con su prestación de ayuda se ha empeñado en apoyar a un autor reconoc</w:t>
      </w:r>
      <w:r w:rsidRPr="006A6317">
        <w:rPr>
          <w:rFonts w:ascii="Myriad Pro" w:hAnsi="Myriad Pro"/>
          <w:iCs/>
          <w:lang w:val="es-ES"/>
        </w:rPr>
        <w:t>i</w:t>
      </w:r>
      <w:r w:rsidRPr="006A6317">
        <w:rPr>
          <w:rFonts w:ascii="Myriad Pro" w:hAnsi="Myriad Pro"/>
          <w:iCs/>
          <w:lang w:val="es-ES"/>
        </w:rPr>
        <w:t>blemente dispuesto a realizar el hecho</w:t>
      </w:r>
      <w:r w:rsidRPr="006A6317">
        <w:rPr>
          <w:rFonts w:ascii="Myriad Pro" w:hAnsi="Myriad Pro" w:cs="Times New Roman"/>
          <w:lang w:val="es-ES"/>
        </w:rPr>
        <w:t>”.</w:t>
      </w:r>
    </w:p>
  </w:footnote>
  <w:footnote w:id="36">
    <w:p w14:paraId="050DDEFB" w14:textId="77777777" w:rsidR="006A7540" w:rsidRPr="006A6317" w:rsidRDefault="006A7540" w:rsidP="00635592">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cs="Times New Roman"/>
          <w:lang w:val="es-ES"/>
        </w:rPr>
        <w:t>“Parece adecuado suponer que menos del 70% de las transferencias anónimas realizadas en cajas de ahorro y otros pequeños bancos están vinculadas con evasión de impuestos”.</w:t>
      </w:r>
    </w:p>
  </w:footnote>
  <w:footnote w:id="37">
    <w:p w14:paraId="002FFD55"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w:t>
      </w:r>
      <w:r w:rsidRPr="006A6317">
        <w:rPr>
          <w:rFonts w:ascii="Myriad Pro" w:hAnsi="Myriad Pro" w:cs="Times New Roman"/>
          <w:lang w:val="es-ES"/>
        </w:rPr>
        <w:t>“El cómplice que conoce con seguridad el hecho principal se hace responsable penalmente; el có</w:t>
      </w:r>
      <w:r w:rsidRPr="006A6317">
        <w:rPr>
          <w:rFonts w:ascii="Myriad Pro" w:hAnsi="Myriad Pro" w:cs="Times New Roman"/>
          <w:lang w:val="es-ES"/>
        </w:rPr>
        <w:t>m</w:t>
      </w:r>
      <w:r w:rsidRPr="006A6317">
        <w:rPr>
          <w:rFonts w:ascii="Myriad Pro" w:hAnsi="Myriad Pro" w:cs="Times New Roman"/>
          <w:lang w:val="es-ES"/>
        </w:rPr>
        <w:t>plice dudoso se mantiene fundamentalmente impune a menos que el apoye a un autor reconocibl</w:t>
      </w:r>
      <w:r w:rsidRPr="006A6317">
        <w:rPr>
          <w:rFonts w:ascii="Myriad Pro" w:hAnsi="Myriad Pro" w:cs="Times New Roman"/>
          <w:lang w:val="es-ES"/>
        </w:rPr>
        <w:t>e</w:t>
      </w:r>
      <w:r w:rsidRPr="006A6317">
        <w:rPr>
          <w:rFonts w:ascii="Myriad Pro" w:hAnsi="Myriad Pro" w:cs="Times New Roman"/>
          <w:lang w:val="es-ES"/>
        </w:rPr>
        <w:t xml:space="preserve">mente dispuesto a realizar el hecho”. </w:t>
      </w:r>
    </w:p>
  </w:footnote>
  <w:footnote w:id="38">
    <w:p w14:paraId="4C16578E" w14:textId="77777777" w:rsidR="006A7540" w:rsidRPr="006A6317" w:rsidRDefault="006A7540" w:rsidP="00635592">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lang w:val="es-ES"/>
        </w:rPr>
        <w:t>“si la acción del autor principal se dirige exclusivamente a cometer una acción delictiva”.</w:t>
      </w:r>
    </w:p>
  </w:footnote>
  <w:footnote w:id="39">
    <w:p w14:paraId="1029CCD7" w14:textId="77777777" w:rsidR="006A7540" w:rsidRPr="006A6317" w:rsidRDefault="006A7540" w:rsidP="00635592">
      <w:pPr>
        <w:widowControl w:val="0"/>
        <w:spacing w:after="0" w:line="240" w:lineRule="auto"/>
        <w:contextualSpacing/>
        <w:jc w:val="both"/>
        <w:rPr>
          <w:rFonts w:ascii="Myriad Pro" w:hAnsi="Myriad Pro"/>
          <w:sz w:val="20"/>
          <w:szCs w:val="20"/>
        </w:rPr>
      </w:pPr>
      <w:r w:rsidRPr="006A6317">
        <w:rPr>
          <w:rStyle w:val="Caracteresdenotaalpie"/>
          <w:rFonts w:ascii="Myriad Pro" w:hAnsi="Myriad Pro"/>
          <w:sz w:val="20"/>
          <w:szCs w:val="20"/>
          <w:vertAlign w:val="superscript"/>
        </w:rPr>
        <w:footnoteRef/>
      </w:r>
      <w:r w:rsidRPr="006A6317">
        <w:rPr>
          <w:rFonts w:ascii="Myriad Pro" w:hAnsi="Myriad Pro"/>
          <w:sz w:val="20"/>
          <w:szCs w:val="20"/>
        </w:rPr>
        <w:t xml:space="preserve"> </w:t>
      </w:r>
      <w:r w:rsidRPr="006A6317">
        <w:rPr>
          <w:rFonts w:ascii="Myriad Pro" w:hAnsi="Myriad Pro"/>
          <w:sz w:val="20"/>
          <w:szCs w:val="20"/>
          <w:lang w:val="es-ES"/>
        </w:rPr>
        <w:t>“Una impunidad general de acciones neutrales, habituales en la profesión o profesionalmente ad</w:t>
      </w:r>
      <w:r w:rsidRPr="006A6317">
        <w:rPr>
          <w:rFonts w:ascii="Myriad Pro" w:hAnsi="Myriad Pro"/>
          <w:sz w:val="20"/>
          <w:szCs w:val="20"/>
          <w:lang w:val="es-ES"/>
        </w:rPr>
        <w:t>e</w:t>
      </w:r>
      <w:r w:rsidRPr="006A6317">
        <w:rPr>
          <w:rFonts w:ascii="Myriad Pro" w:hAnsi="Myriad Pro"/>
          <w:sz w:val="20"/>
          <w:szCs w:val="20"/>
          <w:lang w:val="es-ES"/>
        </w:rPr>
        <w:t xml:space="preserve">cuadas no viene en consideración. Tanto las acciones cotidianas como las habituales en el ámbito profesional no son en caso </w:t>
      </w:r>
      <w:proofErr w:type="gramStart"/>
      <w:r w:rsidRPr="006A6317">
        <w:rPr>
          <w:rFonts w:ascii="Myriad Pro" w:hAnsi="Myriad Pro"/>
          <w:sz w:val="20"/>
          <w:szCs w:val="20"/>
          <w:lang w:val="es-ES"/>
        </w:rPr>
        <w:t>alguno neutrales</w:t>
      </w:r>
      <w:proofErr w:type="gramEnd"/>
      <w:r w:rsidRPr="006A6317">
        <w:rPr>
          <w:rFonts w:ascii="Myriad Pro" w:hAnsi="Myriad Pro"/>
          <w:sz w:val="20"/>
          <w:szCs w:val="20"/>
          <w:lang w:val="es-ES"/>
        </w:rPr>
        <w:t>. Casi toda acción puede ser puesta en un contexto pun</w:t>
      </w:r>
      <w:r w:rsidRPr="006A6317">
        <w:rPr>
          <w:rFonts w:ascii="Myriad Pro" w:hAnsi="Myriad Pro"/>
          <w:sz w:val="20"/>
          <w:szCs w:val="20"/>
          <w:lang w:val="es-ES"/>
        </w:rPr>
        <w:t>i</w:t>
      </w:r>
      <w:r w:rsidRPr="006A6317">
        <w:rPr>
          <w:rFonts w:ascii="Myriad Pro" w:hAnsi="Myriad Pro"/>
          <w:sz w:val="20"/>
          <w:szCs w:val="20"/>
          <w:lang w:val="es-ES"/>
        </w:rPr>
        <w:t>ble. Los citados conceptos no son por ello idóneos para distinguir con claridad entre acciones perm</w:t>
      </w:r>
      <w:r w:rsidRPr="006A6317">
        <w:rPr>
          <w:rFonts w:ascii="Myriad Pro" w:hAnsi="Myriad Pro"/>
          <w:sz w:val="20"/>
          <w:szCs w:val="20"/>
          <w:lang w:val="es-ES"/>
        </w:rPr>
        <w:t>i</w:t>
      </w:r>
      <w:r w:rsidRPr="006A6317">
        <w:rPr>
          <w:rFonts w:ascii="Myriad Pro" w:hAnsi="Myriad Pro"/>
          <w:sz w:val="20"/>
          <w:szCs w:val="20"/>
          <w:lang w:val="es-ES"/>
        </w:rPr>
        <w:t xml:space="preserve">tidas y aquellas que constituyen complicidad punible”. </w:t>
      </w:r>
    </w:p>
  </w:footnote>
  <w:footnote w:id="40">
    <w:p w14:paraId="2EA40556"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lang w:val="es-ES"/>
        </w:rPr>
        <w:footnoteRef/>
      </w:r>
      <w:r w:rsidRPr="006A6317">
        <w:rPr>
          <w:rFonts w:ascii="Myriad Pro" w:hAnsi="Myriad Pro"/>
        </w:rPr>
        <w:t xml:space="preserve"> “Una complicidad punible puede ser negada desde fundamentos objetivos cuando falta la relación de sentido delictivo de la acción del autor (que previamente sabía de la comisión del delito), dado que la acción colaborativa del cómplice no solo se encuentra dirigida a la comisión de una acción delictiva por parte del autor, sino que también conserva su sentido con prescindencia de ella”.</w:t>
      </w:r>
    </w:p>
  </w:footnote>
  <w:footnote w:id="41">
    <w:p w14:paraId="656D74AE" w14:textId="77777777" w:rsidR="006A7540" w:rsidRPr="006A6317" w:rsidRDefault="006A7540" w:rsidP="00635592">
      <w:pPr>
        <w:pStyle w:val="Textonotapie"/>
        <w:jc w:val="both"/>
        <w:rPr>
          <w:rFonts w:ascii="Myriad Pro" w:hAnsi="Myriad Pro" w:cs="Times New Roman"/>
        </w:rPr>
      </w:pPr>
      <w:r w:rsidRPr="006A6317">
        <w:rPr>
          <w:rStyle w:val="Caracteresdenotaalpie"/>
          <w:rFonts w:ascii="Myriad Pro" w:hAnsi="Myriad Pro"/>
          <w:vertAlign w:val="superscript"/>
        </w:rPr>
        <w:footnoteRef/>
      </w:r>
      <w:r w:rsidRPr="006A6317">
        <w:rPr>
          <w:rFonts w:ascii="Myriad Pro" w:hAnsi="Myriad Pro" w:cs="Times New Roman"/>
          <w:lang w:val="es-ES"/>
        </w:rPr>
        <w:t xml:space="preserve"> “Desde un punto de vista subjetivo se mantiene un motivo para delimitar la punibilidad del cómpl</w:t>
      </w:r>
      <w:r w:rsidRPr="006A6317">
        <w:rPr>
          <w:rFonts w:ascii="Myriad Pro" w:hAnsi="Myriad Pro" w:cs="Times New Roman"/>
          <w:lang w:val="es-ES"/>
        </w:rPr>
        <w:t>i</w:t>
      </w:r>
      <w:r w:rsidRPr="006A6317">
        <w:rPr>
          <w:rFonts w:ascii="Myriad Pro" w:hAnsi="Myriad Pro" w:cs="Times New Roman"/>
          <w:lang w:val="es-ES"/>
        </w:rPr>
        <w:t>ce como una persona ajena al empleo delictivo de su contribución por parte del autor, pese a que él la considere como posible (con dolo eventual), pero debido al carácter cotidiano de su acción, puede confiar en que su prestación no será usada por otro para cometer un hecho punible doloso. En aqu</w:t>
      </w:r>
      <w:r w:rsidRPr="006A6317">
        <w:rPr>
          <w:rFonts w:ascii="Myriad Pro" w:hAnsi="Myriad Pro" w:cs="Times New Roman"/>
          <w:lang w:val="es-ES"/>
        </w:rPr>
        <w:t>e</w:t>
      </w:r>
      <w:r w:rsidRPr="006A6317">
        <w:rPr>
          <w:rFonts w:ascii="Myriad Pro" w:hAnsi="Myriad Pro" w:cs="Times New Roman"/>
          <w:lang w:val="es-ES"/>
        </w:rPr>
        <w:t>llos casos en que el colaborador no sabe cómo será utilizado el aporte por el autor, el Tribunal Supr</w:t>
      </w:r>
      <w:r w:rsidRPr="006A6317">
        <w:rPr>
          <w:rFonts w:ascii="Myriad Pro" w:hAnsi="Myriad Pro" w:cs="Times New Roman"/>
          <w:lang w:val="es-ES"/>
        </w:rPr>
        <w:t>e</w:t>
      </w:r>
      <w:r w:rsidRPr="006A6317">
        <w:rPr>
          <w:rFonts w:ascii="Myriad Pro" w:hAnsi="Myriad Pro" w:cs="Times New Roman"/>
          <w:lang w:val="es-ES"/>
        </w:rPr>
        <w:t>mo Alemán hace depender la punibilidad de si el riesgo reconocible de un comportamiento punible para quien colabora es tan alto, que se pueda acreditar que él con su contribución se ha esforzado en colaborar con un autor reconociblemente dispuesto, de este modo, se asegura que nadie deba abst</w:t>
      </w:r>
      <w:r w:rsidRPr="006A6317">
        <w:rPr>
          <w:rFonts w:ascii="Myriad Pro" w:hAnsi="Myriad Pro" w:cs="Times New Roman"/>
          <w:lang w:val="es-ES"/>
        </w:rPr>
        <w:t>e</w:t>
      </w:r>
      <w:r w:rsidRPr="006A6317">
        <w:rPr>
          <w:rFonts w:ascii="Myriad Pro" w:hAnsi="Myriad Pro" w:cs="Times New Roman"/>
          <w:lang w:val="es-ES"/>
        </w:rPr>
        <w:t xml:space="preserve">nerse de actuar debido a meras suposiciones sobre la posibilidad de un empleo punible de acciones cotidianas y socialmente no indeseadas”. </w:t>
      </w:r>
    </w:p>
  </w:footnote>
  <w:footnote w:id="42">
    <w:p w14:paraId="33221925" w14:textId="77777777" w:rsidR="006A7540" w:rsidRPr="006A6317" w:rsidRDefault="006A7540" w:rsidP="00635592">
      <w:pPr>
        <w:pStyle w:val="Textonotapie"/>
        <w:jc w:val="both"/>
        <w:rPr>
          <w:rFonts w:ascii="Myriad Pro" w:hAnsi="Myriad Pro"/>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cs="Times New Roman"/>
        </w:rPr>
        <w:t xml:space="preserve">Ver también </w:t>
      </w:r>
      <w:r w:rsidRPr="006A6317">
        <w:rPr>
          <w:rFonts w:ascii="Myriad Pro" w:hAnsi="Myriad Pro" w:cs="Times New Roman"/>
          <w:i/>
          <w:iCs/>
        </w:rPr>
        <w:t>infra</w:t>
      </w:r>
      <w:r w:rsidRPr="006A6317">
        <w:rPr>
          <w:rFonts w:ascii="Myriad Pro" w:hAnsi="Myriad Pro" w:cs="Times New Roman"/>
        </w:rPr>
        <w:t xml:space="preserve"> </w:t>
      </w:r>
      <w:hyperlink w:anchor="1.4.1. El concreto punto de vista como comprensión correcta del dolo eventual" w:history="1">
        <w:r w:rsidRPr="006A6317">
          <w:rPr>
            <w:rStyle w:val="Hipervnculo"/>
            <w:rFonts w:ascii="Myriad Pro" w:hAnsi="Myriad Pro" w:cs="Times New Roman"/>
            <w:color w:val="auto"/>
            <w:u w:val="none"/>
            <w:lang w:val="es-ES"/>
          </w:rPr>
          <w:t>1.4.1.</w:t>
        </w:r>
      </w:hyperlink>
    </w:p>
  </w:footnote>
  <w:footnote w:id="43">
    <w:p w14:paraId="3E2B636E" w14:textId="77777777" w:rsidR="006A7540" w:rsidRPr="006A6317" w:rsidRDefault="006A7540" w:rsidP="00635592">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rPr>
        <w:t xml:space="preserve"> Véase </w:t>
      </w:r>
      <w:r w:rsidRPr="006A6317">
        <w:rPr>
          <w:rFonts w:ascii="Myriad Pro" w:hAnsi="Myriad Pro"/>
          <w:i/>
          <w:iCs/>
        </w:rPr>
        <w:t>supra</w:t>
      </w:r>
      <w:r w:rsidRPr="006A6317">
        <w:rPr>
          <w:rFonts w:ascii="Myriad Pro" w:hAnsi="Myriad Pro"/>
        </w:rPr>
        <w:t xml:space="preserve"> </w:t>
      </w:r>
      <w:hyperlink w:anchor="1.3.1.Relación de sentido delictivo  y disposición reconocible a realizar el hecho" w:history="1">
        <w:r w:rsidRPr="006A6317">
          <w:rPr>
            <w:rStyle w:val="Hipervnculo"/>
            <w:rFonts w:ascii="Myriad Pro" w:hAnsi="Myriad Pro"/>
            <w:color w:val="auto"/>
            <w:u w:val="none"/>
          </w:rPr>
          <w:t>1.3.1.</w:t>
        </w:r>
      </w:hyperlink>
      <w:r w:rsidRPr="006A6317">
        <w:rPr>
          <w:rFonts w:ascii="Myriad Pro" w:hAnsi="Myriad Pro"/>
        </w:rPr>
        <w:t xml:space="preserve"> </w:t>
      </w:r>
    </w:p>
  </w:footnote>
  <w:footnote w:id="44">
    <w:p w14:paraId="4F713E0E" w14:textId="77777777" w:rsidR="006A7540" w:rsidRPr="006A6317" w:rsidRDefault="006A7540" w:rsidP="0013750A">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Oberlandesgericht Düsseldorf = Tribunal Regional Superior de Düsseldorf</w:t>
      </w:r>
    </w:p>
  </w:footnote>
  <w:footnote w:id="45">
    <w:p w14:paraId="46668031" w14:textId="77777777" w:rsidR="006A7540" w:rsidRPr="006A6317" w:rsidRDefault="006A7540" w:rsidP="0013750A">
      <w:pPr>
        <w:spacing w:after="0" w:line="240" w:lineRule="auto"/>
        <w:jc w:val="both"/>
        <w:rPr>
          <w:rFonts w:ascii="Myriad Pro" w:hAnsi="Myriad Pro"/>
          <w:sz w:val="20"/>
          <w:szCs w:val="20"/>
        </w:rPr>
      </w:pPr>
      <w:r w:rsidRPr="006A6317">
        <w:rPr>
          <w:rStyle w:val="Caracteresdenotaalpie"/>
          <w:rFonts w:ascii="Myriad Pro" w:hAnsi="Myriad Pro"/>
          <w:sz w:val="20"/>
          <w:szCs w:val="20"/>
          <w:vertAlign w:val="superscript"/>
        </w:rPr>
        <w:footnoteRef/>
      </w:r>
      <w:r w:rsidRPr="006A6317">
        <w:rPr>
          <w:rFonts w:ascii="Myriad Pro" w:hAnsi="Myriad Pro"/>
          <w:sz w:val="20"/>
          <w:szCs w:val="20"/>
        </w:rPr>
        <w:t xml:space="preserve"> </w:t>
      </w:r>
      <w:r w:rsidRPr="006A6317">
        <w:rPr>
          <w:rFonts w:ascii="Myriad Pro" w:hAnsi="Myriad Pro"/>
          <w:bCs/>
          <w:iCs/>
          <w:sz w:val="20"/>
          <w:szCs w:val="20"/>
          <w:lang w:val="es-ES"/>
        </w:rPr>
        <w:t>“</w:t>
      </w:r>
      <w:r w:rsidRPr="006A6317">
        <w:rPr>
          <w:rFonts w:ascii="Myriad Pro" w:hAnsi="Myriad Pro"/>
          <w:iCs/>
          <w:sz w:val="20"/>
          <w:szCs w:val="20"/>
        </w:rPr>
        <w:t>A nadie le vendría la idea de que el panadero B ha colaborado con el habilitante H en su carrera científica mediante la venta regular de pan</w:t>
      </w:r>
      <w:r w:rsidRPr="006A6317">
        <w:rPr>
          <w:rFonts w:ascii="Myriad Pro" w:hAnsi="Myriad Pro"/>
          <w:bCs/>
          <w:iCs/>
          <w:sz w:val="20"/>
          <w:szCs w:val="20"/>
          <w:lang w:val="es-ES"/>
        </w:rPr>
        <w:t>”.</w:t>
      </w:r>
      <w:r w:rsidRPr="006A6317">
        <w:rPr>
          <w:rFonts w:ascii="Myriad Pro" w:hAnsi="Myriad Pro"/>
          <w:iCs/>
          <w:sz w:val="20"/>
          <w:szCs w:val="20"/>
        </w:rPr>
        <w:t xml:space="preserve"> </w:t>
      </w:r>
    </w:p>
  </w:footnote>
  <w:footnote w:id="46">
    <w:p w14:paraId="3E37E425" w14:textId="77777777" w:rsidR="006A7540" w:rsidRPr="006A6317" w:rsidRDefault="006A7540" w:rsidP="0013750A">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Ley de Armas</w:t>
      </w:r>
    </w:p>
  </w:footnote>
  <w:footnote w:id="47">
    <w:p w14:paraId="52853629" w14:textId="77777777" w:rsidR="006A7540" w:rsidRPr="006A6317" w:rsidRDefault="006A7540" w:rsidP="0013750A">
      <w:pPr>
        <w:pStyle w:val="Textonotapie"/>
        <w:contextualSpacing/>
        <w:jc w:val="both"/>
        <w:rPr>
          <w:rFonts w:ascii="Myriad Pro" w:hAnsi="Myriad Pro"/>
          <w:lang w:val="es-ES"/>
        </w:rPr>
      </w:pPr>
      <w:r w:rsidRPr="006A6317">
        <w:rPr>
          <w:rStyle w:val="Caracteresdenotaalpie"/>
          <w:rFonts w:ascii="Myriad Pro" w:hAnsi="Myriad Pro"/>
          <w:vertAlign w:val="superscript"/>
        </w:rPr>
        <w:footnoteRef/>
      </w:r>
      <w:r w:rsidRPr="006A6317">
        <w:rPr>
          <w:rFonts w:ascii="Myriad Pro" w:hAnsi="Myriad Pro"/>
        </w:rPr>
        <w:t xml:space="preserve"> </w:t>
      </w:r>
      <w:r w:rsidRPr="006A6317">
        <w:rPr>
          <w:rFonts w:ascii="Myriad Pro" w:hAnsi="Myriad Pro"/>
          <w:lang w:val="es-ES"/>
        </w:rPr>
        <w:t xml:space="preserve">Ver </w:t>
      </w:r>
      <w:r w:rsidRPr="006A6317">
        <w:rPr>
          <w:rFonts w:ascii="Myriad Pro" w:hAnsi="Myriad Pro"/>
          <w:i/>
          <w:iCs/>
          <w:lang w:val="es-ES"/>
        </w:rPr>
        <w:t>supra</w:t>
      </w:r>
      <w:r w:rsidRPr="006A6317">
        <w:rPr>
          <w:rFonts w:ascii="Myriad Pro" w:hAnsi="Myriad Pro"/>
          <w:lang w:val="es-ES"/>
        </w:rPr>
        <w:t xml:space="preserve"> </w:t>
      </w:r>
      <w:hyperlink w:anchor="1.1.2. Comportamiento profesionalmente adecuado" w:history="1">
        <w:r w:rsidRPr="006A6317">
          <w:rPr>
            <w:rStyle w:val="Hipervnculo"/>
            <w:rFonts w:ascii="Myriad Pro" w:hAnsi="Myriad Pro"/>
            <w:color w:val="auto"/>
            <w:u w:val="none"/>
            <w:lang w:val="es-ES"/>
          </w:rPr>
          <w:t>1.1.2.</w:t>
        </w:r>
      </w:hyperlink>
      <w:r w:rsidRPr="006A6317">
        <w:rPr>
          <w:rFonts w:ascii="Myriad Pro" w:hAnsi="Myriad Pro"/>
          <w:lang w:val="es-ES"/>
        </w:rPr>
        <w:t xml:space="preserve"> </w:t>
      </w:r>
    </w:p>
  </w:footnote>
  <w:footnote w:id="48">
    <w:p w14:paraId="5B7BB263" w14:textId="77777777" w:rsidR="006A7540" w:rsidRPr="006A6317" w:rsidRDefault="006A7540" w:rsidP="0013750A">
      <w:pPr>
        <w:pStyle w:val="Textonotapie"/>
        <w:rPr>
          <w:rFonts w:ascii="Myriad Pro" w:hAnsi="Myriad Pro"/>
        </w:rPr>
      </w:pPr>
      <w:r w:rsidRPr="006A6317">
        <w:rPr>
          <w:rStyle w:val="Refdenotaalpie"/>
          <w:rFonts w:ascii="Myriad Pro" w:hAnsi="Myriad Pro"/>
        </w:rPr>
        <w:footnoteRef/>
      </w:r>
      <w:r w:rsidRPr="006A6317">
        <w:rPr>
          <w:rFonts w:ascii="Myriad Pro" w:hAnsi="Myriad Pro"/>
        </w:rPr>
        <w:t xml:space="preserve"> Constitución de la República Federal de Alemania.</w:t>
      </w:r>
    </w:p>
  </w:footnote>
  <w:footnote w:id="49">
    <w:p w14:paraId="33776498" w14:textId="77777777" w:rsidR="006A7540" w:rsidRPr="006A6317" w:rsidRDefault="006A7540" w:rsidP="0013750A">
      <w:pPr>
        <w:pStyle w:val="Textonotapie"/>
        <w:contextualSpacing/>
        <w:jc w:val="both"/>
        <w:rPr>
          <w:rFonts w:ascii="Myriad Pro" w:hAnsi="Myriad Pro"/>
          <w:lang w:val="es-ES"/>
        </w:rPr>
      </w:pPr>
      <w:r w:rsidRPr="006A6317">
        <w:rPr>
          <w:rStyle w:val="Caracteresdenotaalpie"/>
          <w:rFonts w:ascii="Myriad Pro" w:hAnsi="Myriad Pro"/>
          <w:vertAlign w:val="superscript"/>
          <w:lang w:val="es-ES"/>
        </w:rPr>
        <w:footnoteRef/>
      </w:r>
      <w:r w:rsidRPr="006A6317">
        <w:rPr>
          <w:rFonts w:ascii="Myriad Pro" w:hAnsi="Myriad Pro" w:cs="Times New Roman"/>
          <w:lang w:val="es-ES"/>
        </w:rPr>
        <w:t xml:space="preserve"> </w:t>
      </w:r>
      <w:r w:rsidRPr="006A6317">
        <w:rPr>
          <w:rFonts w:ascii="Myriad Pro" w:hAnsi="Myriad Pro"/>
          <w:lang w:val="es-ES"/>
        </w:rPr>
        <w:t>“</w:t>
      </w:r>
      <w:r w:rsidRPr="006A6317">
        <w:rPr>
          <w:rFonts w:ascii="Myriad Pro" w:hAnsi="Myriad Pro" w:cs="Times New Roman"/>
          <w:lang w:val="es-ES"/>
        </w:rPr>
        <w:t>La determinación de su fin y objetivo le entrega primero su contenido de sentido social</w:t>
      </w:r>
      <w:r w:rsidRPr="006A6317">
        <w:rPr>
          <w:rFonts w:ascii="Myriad Pro" w:hAnsi="Myriad Pro"/>
          <w:lang w:val="es-ES"/>
        </w:rPr>
        <w:t>”.</w:t>
      </w:r>
    </w:p>
  </w:footnote>
  <w:footnote w:id="50">
    <w:p w14:paraId="398290BF" w14:textId="77777777" w:rsidR="006A7540" w:rsidRPr="006A6317" w:rsidRDefault="006A7540" w:rsidP="00861B5C">
      <w:pPr>
        <w:pStyle w:val="Textonotapie"/>
        <w:contextualSpacing/>
        <w:jc w:val="both"/>
        <w:rPr>
          <w:rFonts w:ascii="Myriad Pro" w:hAnsi="Myriad Pro"/>
          <w:lang w:val="es-ES"/>
        </w:rPr>
      </w:pPr>
      <w:r w:rsidRPr="006A6317">
        <w:rPr>
          <w:rStyle w:val="Caracteresdenotaalpie"/>
          <w:rFonts w:ascii="Myriad Pro" w:hAnsi="Myriad Pro"/>
          <w:vertAlign w:val="superscript"/>
          <w:lang w:val="es-ES"/>
        </w:rPr>
        <w:footnoteRef/>
      </w:r>
      <w:r w:rsidRPr="006A6317">
        <w:rPr>
          <w:rFonts w:ascii="Myriad Pro" w:hAnsi="Myriad Pro" w:cs="Times New Roman"/>
          <w:lang w:val="es-ES"/>
        </w:rPr>
        <w:t xml:space="preserve"> Ver </w:t>
      </w:r>
      <w:hyperlink w:anchor="1.4.2. Una restricción interpretativa del dolo relevante para la complicidad a través de actividades profesionales" w:history="1">
        <w:r w:rsidRPr="006A6317">
          <w:rPr>
            <w:rStyle w:val="Hipervnculo"/>
            <w:rFonts w:ascii="Myriad Pro" w:hAnsi="Myriad Pro"/>
            <w:color w:val="auto"/>
            <w:u w:val="none"/>
            <w:lang w:val="es-ES"/>
          </w:rPr>
          <w:t>1.4.2</w:t>
        </w:r>
      </w:hyperlink>
    </w:p>
  </w:footnote>
  <w:footnote w:id="51">
    <w:p w14:paraId="5BF75E6C" w14:textId="77777777" w:rsidR="006A7540" w:rsidRPr="006A6317" w:rsidRDefault="006A7540" w:rsidP="00861B5C">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Especialmente p. 292 y ss.</w:t>
      </w:r>
    </w:p>
  </w:footnote>
  <w:footnote w:id="52">
    <w:p w14:paraId="3BEE49F9" w14:textId="77777777" w:rsidR="006A7540" w:rsidRPr="006A6317" w:rsidRDefault="006A7540" w:rsidP="00861B5C">
      <w:pPr>
        <w:pStyle w:val="Textonotapie"/>
        <w:jc w:val="both"/>
        <w:rPr>
          <w:rFonts w:ascii="Myriad Pro" w:hAnsi="Myriad Pro"/>
          <w:lang w:val="es-ES"/>
        </w:rPr>
      </w:pPr>
      <w:r w:rsidRPr="006A6317">
        <w:rPr>
          <w:rStyle w:val="Refdenotaalpie"/>
          <w:rFonts w:ascii="Myriad Pro" w:hAnsi="Myriad Pro"/>
        </w:rPr>
        <w:footnoteRef/>
      </w:r>
      <w:r w:rsidRPr="006A6317">
        <w:rPr>
          <w:rFonts w:ascii="Myriad Pro" w:hAnsi="Myriad Pro"/>
        </w:rPr>
        <w:t xml:space="preserve"> </w:t>
      </w:r>
      <w:r w:rsidRPr="006A6317">
        <w:rPr>
          <w:rFonts w:ascii="Myriad Pro" w:hAnsi="Myriad Pro"/>
          <w:lang w:val="es-ES"/>
        </w:rPr>
        <w:t>En virtud de ello, la teoría dominante sostiene que la conducta del cómplice no solo debe constituir una causa necesaria del resultado dañoso -de acuerdo con la teoría de la equivalencia de las condici</w:t>
      </w:r>
      <w:r w:rsidRPr="006A6317">
        <w:rPr>
          <w:rFonts w:ascii="Myriad Pro" w:hAnsi="Myriad Pro"/>
          <w:lang w:val="es-ES"/>
        </w:rPr>
        <w:t>o</w:t>
      </w:r>
      <w:r w:rsidRPr="006A6317">
        <w:rPr>
          <w:rFonts w:ascii="Myriad Pro" w:hAnsi="Myriad Pro"/>
          <w:lang w:val="es-ES"/>
        </w:rPr>
        <w:t>nes- sino que también debe constituir la creación o el incremento de un riesgo no permitido, en do</w:t>
      </w:r>
      <w:r w:rsidRPr="006A6317">
        <w:rPr>
          <w:rFonts w:ascii="Myriad Pro" w:hAnsi="Myriad Pro"/>
          <w:lang w:val="es-ES"/>
        </w:rPr>
        <w:t>n</w:t>
      </w:r>
      <w:r w:rsidRPr="006A6317">
        <w:rPr>
          <w:rFonts w:ascii="Myriad Pro" w:hAnsi="Myriad Pro"/>
          <w:lang w:val="es-ES"/>
        </w:rPr>
        <w:t>de el límite al riesgo permitido viene dado por el conocimiento que tiene el colaborador sobre la dec</w:t>
      </w:r>
      <w:r w:rsidRPr="006A6317">
        <w:rPr>
          <w:rFonts w:ascii="Myriad Pro" w:hAnsi="Myriad Pro"/>
          <w:lang w:val="es-ES"/>
        </w:rPr>
        <w:t>i</w:t>
      </w:r>
      <w:r w:rsidRPr="006A6317">
        <w:rPr>
          <w:rFonts w:ascii="Myriad Pro" w:hAnsi="Myriad Pro"/>
          <w:lang w:val="es-ES"/>
        </w:rPr>
        <w:t>sión delictiva del autor. Y dicho conocimiento o pronóstico, por regla general, debe satisfacer un e</w:t>
      </w:r>
      <w:r w:rsidRPr="006A6317">
        <w:rPr>
          <w:rFonts w:ascii="Myriad Pro" w:hAnsi="Myriad Pro"/>
          <w:lang w:val="es-ES"/>
        </w:rPr>
        <w:t>s</w:t>
      </w:r>
      <w:r w:rsidRPr="006A6317">
        <w:rPr>
          <w:rFonts w:ascii="Myriad Pro" w:hAnsi="Myriad Pro"/>
          <w:lang w:val="es-ES"/>
        </w:rPr>
        <w:t xml:space="preserve">tándar más exigente que el habitual, el dolo directo. Ver </w:t>
      </w:r>
      <w:r w:rsidRPr="006A6317">
        <w:rPr>
          <w:rFonts w:ascii="Myriad Pro" w:hAnsi="Myriad Pro"/>
          <w:i/>
          <w:iCs/>
          <w:lang w:val="es-ES"/>
        </w:rPr>
        <w:t xml:space="preserve">supra </w:t>
      </w:r>
      <w:hyperlink w:anchor="1.3.1.Relación de sentido delictivo  y disposición reconocible a realizar el hecho" w:history="1">
        <w:r w:rsidRPr="006A6317">
          <w:rPr>
            <w:rStyle w:val="Hipervnculo"/>
            <w:rFonts w:ascii="Myriad Pro" w:hAnsi="Myriad Pro"/>
            <w:color w:val="auto"/>
            <w:u w:val="none"/>
            <w:lang w:val="es-ES"/>
          </w:rPr>
          <w:t>1.3.1.</w:t>
        </w:r>
      </w:hyperlink>
      <w:r w:rsidRPr="006A6317">
        <w:rPr>
          <w:rFonts w:ascii="Myriad Pro" w:hAnsi="Myriad Pro"/>
          <w:lang w:val="es-ES"/>
        </w:rPr>
        <w:t xml:space="preserve"> </w:t>
      </w:r>
    </w:p>
  </w:footnote>
  <w:footnote w:id="53">
    <w:p w14:paraId="3F98AF26" w14:textId="77777777" w:rsidR="006A7540" w:rsidRPr="006A6317" w:rsidRDefault="006A7540" w:rsidP="00861B5C">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Véase </w:t>
      </w:r>
      <w:r w:rsidRPr="006A6317">
        <w:rPr>
          <w:rFonts w:ascii="Myriad Pro" w:hAnsi="Myriad Pro" w:cs="Times New Roman"/>
          <w:i/>
        </w:rPr>
        <w:t>supra</w:t>
      </w:r>
      <w:r w:rsidRPr="006A6317">
        <w:rPr>
          <w:rFonts w:ascii="Myriad Pro" w:hAnsi="Myriad Pro" w:cs="Times New Roman"/>
        </w:rPr>
        <w:t xml:space="preserve"> </w:t>
      </w:r>
      <w:hyperlink w:anchor="1.3. Modelo objetivo-subjetivo. La teoría dominante y el criterio de la jurisprudencia" w:history="1">
        <w:r w:rsidRPr="006A6317">
          <w:rPr>
            <w:rStyle w:val="Hipervnculo"/>
            <w:rFonts w:ascii="Myriad Pro" w:hAnsi="Myriad Pro"/>
            <w:color w:val="auto"/>
            <w:u w:val="none"/>
          </w:rPr>
          <w:t>1.3.</w:t>
        </w:r>
      </w:hyperlink>
      <w:r w:rsidRPr="006A6317">
        <w:rPr>
          <w:rFonts w:ascii="Myriad Pro" w:hAnsi="Myriad Pro" w:cs="Times New Roman"/>
        </w:rPr>
        <w:t xml:space="preserve"> </w:t>
      </w:r>
    </w:p>
  </w:footnote>
  <w:footnote w:id="54">
    <w:p w14:paraId="34E3BAAB" w14:textId="77777777" w:rsidR="006A7540" w:rsidRPr="006A6317" w:rsidRDefault="006A7540" w:rsidP="00783ED1">
      <w:pPr>
        <w:pStyle w:val="Textonotapie"/>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rPr>
        <w:t xml:space="preserve"> “</w:t>
      </w:r>
      <w:r w:rsidRPr="006A6317">
        <w:rPr>
          <w:rFonts w:ascii="Myriad Pro" w:hAnsi="Myriad Pro"/>
          <w:lang w:val="es-ES"/>
        </w:rPr>
        <w:t>los sistemas de conceptos y de argumentación [surgidos de fundamentos racionales] deben estar libres de contradicciones (lógica deductiva como instrumento de la crítica)” traducción libre del orig</w:t>
      </w:r>
      <w:r w:rsidRPr="006A6317">
        <w:rPr>
          <w:rFonts w:ascii="Myriad Pro" w:hAnsi="Myriad Pro"/>
          <w:lang w:val="es-ES"/>
        </w:rPr>
        <w:t>i</w:t>
      </w:r>
      <w:r w:rsidRPr="006A6317">
        <w:rPr>
          <w:rFonts w:ascii="Myriad Pro" w:hAnsi="Myriad Pro"/>
          <w:lang w:val="es-ES"/>
        </w:rPr>
        <w:t>nal.</w:t>
      </w:r>
    </w:p>
  </w:footnote>
  <w:footnote w:id="55">
    <w:p w14:paraId="1F7CF077" w14:textId="77777777" w:rsidR="006A7540" w:rsidRPr="006A6317" w:rsidRDefault="006A7540" w:rsidP="00783ED1">
      <w:pPr>
        <w:spacing w:after="0" w:line="240" w:lineRule="auto"/>
        <w:jc w:val="both"/>
        <w:rPr>
          <w:rFonts w:ascii="Myriad Pro" w:hAnsi="Myriad Pro"/>
          <w:sz w:val="20"/>
          <w:szCs w:val="20"/>
        </w:rPr>
      </w:pPr>
      <w:r w:rsidRPr="006A6317">
        <w:rPr>
          <w:rStyle w:val="Caracteresdenotaalpie"/>
          <w:rFonts w:ascii="Myriad Pro" w:hAnsi="Myriad Pro"/>
          <w:sz w:val="20"/>
          <w:szCs w:val="20"/>
          <w:vertAlign w:val="superscript"/>
        </w:rPr>
        <w:footnoteRef/>
      </w:r>
      <w:r w:rsidRPr="006A6317">
        <w:rPr>
          <w:rFonts w:ascii="Myriad Pro" w:hAnsi="Myriad Pro"/>
          <w:sz w:val="20"/>
          <w:szCs w:val="20"/>
        </w:rPr>
        <w:t xml:space="preserve"> “E</w:t>
      </w:r>
      <w:r w:rsidRPr="006A6317">
        <w:rPr>
          <w:rFonts w:ascii="Myriad Pro" w:hAnsi="Myriad Pro"/>
          <w:sz w:val="20"/>
          <w:szCs w:val="20"/>
          <w:lang w:val="es-ES"/>
        </w:rPr>
        <w:t>l legislador, en conocimiento del ‘problema de la adecuación social’ se ha decidido en contra de una restricción del ámbito típico y dicha decisión ha sido puesta de manifiesto de forma suficient</w:t>
      </w:r>
      <w:r w:rsidRPr="006A6317">
        <w:rPr>
          <w:rFonts w:ascii="Myriad Pro" w:hAnsi="Myriad Pro"/>
          <w:sz w:val="20"/>
          <w:szCs w:val="20"/>
          <w:lang w:val="es-ES"/>
        </w:rPr>
        <w:t>e</w:t>
      </w:r>
      <w:r w:rsidRPr="006A6317">
        <w:rPr>
          <w:rFonts w:ascii="Myriad Pro" w:hAnsi="Myriad Pro"/>
          <w:sz w:val="20"/>
          <w:szCs w:val="20"/>
          <w:lang w:val="es-ES"/>
        </w:rPr>
        <w:t>mente clara”.</w:t>
      </w:r>
      <w:r w:rsidRPr="006A6317">
        <w:rPr>
          <w:rFonts w:ascii="Myriad Pro" w:hAnsi="Myriad Pro"/>
          <w:sz w:val="20"/>
          <w:szCs w:val="20"/>
        </w:rPr>
        <w:t xml:space="preserve"> </w:t>
      </w:r>
    </w:p>
  </w:footnote>
  <w:footnote w:id="56">
    <w:p w14:paraId="1721BD81" w14:textId="77777777" w:rsidR="006A7540" w:rsidRPr="006A6317" w:rsidRDefault="006A7540" w:rsidP="00783ED1">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Para la crítica y su respuesta ver </w:t>
      </w:r>
      <w:r w:rsidRPr="006A6317">
        <w:rPr>
          <w:rFonts w:ascii="Myriad Pro" w:hAnsi="Myriad Pro" w:cs="Times New Roman"/>
          <w:i/>
          <w:iCs/>
        </w:rPr>
        <w:t>supra</w:t>
      </w:r>
      <w:r w:rsidRPr="006A6317">
        <w:rPr>
          <w:rFonts w:ascii="Myriad Pro" w:hAnsi="Myriad Pro" w:cs="Times New Roman"/>
        </w:rPr>
        <w:t xml:space="preserve"> </w:t>
      </w:r>
      <w:hyperlink w:anchor="1.1.4.2. La libre y general disponibilidad de una prestación y la consideración de la relación espacio-temporal entre la entrega y la acción principal como criterios normativos de carácter restrictivo propios de la imputación objetiva" w:history="1">
        <w:r w:rsidRPr="006A6317">
          <w:rPr>
            <w:rStyle w:val="Hipervnculo"/>
            <w:rFonts w:ascii="Myriad Pro" w:hAnsi="Myriad Pro"/>
            <w:color w:val="auto"/>
            <w:u w:val="none"/>
          </w:rPr>
          <w:t>1.1.4.2.</w:t>
        </w:r>
      </w:hyperlink>
      <w:r w:rsidRPr="006A6317">
        <w:rPr>
          <w:rFonts w:ascii="Myriad Pro" w:hAnsi="Myriad Pro" w:cs="Times New Roman"/>
        </w:rPr>
        <w:t xml:space="preserve"> </w:t>
      </w:r>
    </w:p>
  </w:footnote>
  <w:footnote w:id="57">
    <w:p w14:paraId="046FC127" w14:textId="77777777" w:rsidR="006A7540" w:rsidRPr="006A6317" w:rsidRDefault="006A7540" w:rsidP="00783ED1">
      <w:pPr>
        <w:pStyle w:val="Textonotapie"/>
        <w:contextualSpacing/>
        <w:jc w:val="both"/>
        <w:rPr>
          <w:rFonts w:ascii="Myriad Pro" w:hAnsi="Myriad Pro"/>
        </w:rPr>
      </w:pPr>
      <w:r w:rsidRPr="006A6317">
        <w:rPr>
          <w:rStyle w:val="Caracteresdenotaalpie"/>
          <w:rFonts w:ascii="Myriad Pro" w:hAnsi="Myriad Pro"/>
          <w:vertAlign w:val="superscript"/>
        </w:rPr>
        <w:footnoteRef/>
      </w:r>
      <w:r w:rsidRPr="006A6317">
        <w:rPr>
          <w:rFonts w:ascii="Myriad Pro" w:hAnsi="Myriad Pro" w:cs="Times New Roman"/>
        </w:rPr>
        <w:t xml:space="preserve"> Ver </w:t>
      </w:r>
      <w:r w:rsidRPr="006A6317">
        <w:rPr>
          <w:rFonts w:ascii="Myriad Pro" w:hAnsi="Myriad Pro" w:cs="Times New Roman"/>
          <w:i/>
          <w:iCs/>
        </w:rPr>
        <w:t>supra</w:t>
      </w:r>
      <w:r w:rsidRPr="006A6317">
        <w:rPr>
          <w:rFonts w:ascii="Myriad Pro" w:hAnsi="Myriad Pro" w:cs="Times New Roman"/>
        </w:rPr>
        <w:t xml:space="preserve"> </w:t>
      </w:r>
      <w:hyperlink w:anchor="1.1.4.2. La libre y general disponibilidad de una prestación y la consideración de la relación espacio-temporal entre la entrega y la acción principal como criterios normativos de carácter restrictivo propios de la imputación objetiva" w:history="1">
        <w:r w:rsidRPr="006A6317">
          <w:rPr>
            <w:rStyle w:val="Hipervnculo"/>
            <w:rFonts w:ascii="Myriad Pro" w:hAnsi="Myriad Pro"/>
            <w:color w:val="auto"/>
            <w:u w:val="none"/>
          </w:rPr>
          <w:t>1.1.4.2.</w:t>
        </w:r>
      </w:hyperlink>
      <w:r w:rsidRPr="006A6317">
        <w:rPr>
          <w:rFonts w:ascii="Myriad Pro" w:hAnsi="Myriad Pro"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157"/>
    <w:multiLevelType w:val="hybridMultilevel"/>
    <w:tmpl w:val="ACF0E7E4"/>
    <w:lvl w:ilvl="0" w:tplc="3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0C7863"/>
    <w:multiLevelType w:val="multilevel"/>
    <w:tmpl w:val="76ECE0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E878C4"/>
    <w:multiLevelType w:val="multilevel"/>
    <w:tmpl w:val="7A84B9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5410C2"/>
    <w:multiLevelType w:val="hybridMultilevel"/>
    <w:tmpl w:val="2BF24FD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B17489"/>
    <w:multiLevelType w:val="hybridMultilevel"/>
    <w:tmpl w:val="D012EC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492F57"/>
    <w:multiLevelType w:val="hybridMultilevel"/>
    <w:tmpl w:val="4DEA9E30"/>
    <w:lvl w:ilvl="0" w:tplc="317E3F4C">
      <w:start w:val="1"/>
      <w:numFmt w:val="lowerLetter"/>
      <w:lvlText w:val="%1)"/>
      <w:lvlJc w:val="left"/>
      <w:pPr>
        <w:ind w:left="1065" w:hanging="360"/>
      </w:pPr>
      <w:rPr>
        <w:rFonts w:hint="default"/>
        <w:i w:val="0"/>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nsid w:val="0D0B1217"/>
    <w:multiLevelType w:val="hybridMultilevel"/>
    <w:tmpl w:val="84460B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2C4200E"/>
    <w:multiLevelType w:val="multilevel"/>
    <w:tmpl w:val="CEBC825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2C66F6B"/>
    <w:multiLevelType w:val="multilevel"/>
    <w:tmpl w:val="478C4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E57124"/>
    <w:multiLevelType w:val="multilevel"/>
    <w:tmpl w:val="9D7AB826"/>
    <w:lvl w:ilvl="0">
      <w:start w:val="1"/>
      <w:numFmt w:val="decimal"/>
      <w:lvlText w:val="(%1)"/>
      <w:lvlJc w:val="left"/>
      <w:pPr>
        <w:ind w:left="780" w:hanging="420"/>
      </w:pPr>
      <w:rPr>
        <w:rFonts w:ascii="Garamond" w:hAnsi="Garamond"/>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4B6118"/>
    <w:multiLevelType w:val="hybridMultilevel"/>
    <w:tmpl w:val="61BE1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1EE528C"/>
    <w:multiLevelType w:val="hybridMultilevel"/>
    <w:tmpl w:val="F7E47D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2387A3D"/>
    <w:multiLevelType w:val="hybridMultilevel"/>
    <w:tmpl w:val="5EF441B2"/>
    <w:lvl w:ilvl="0" w:tplc="75FE356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A497D32"/>
    <w:multiLevelType w:val="multilevel"/>
    <w:tmpl w:val="B9EC14FE"/>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126FEE"/>
    <w:multiLevelType w:val="multilevel"/>
    <w:tmpl w:val="92E4A5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8C02A6"/>
    <w:multiLevelType w:val="hybridMultilevel"/>
    <w:tmpl w:val="73CEFE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E9417C8"/>
    <w:multiLevelType w:val="hybridMultilevel"/>
    <w:tmpl w:val="71DA3FE6"/>
    <w:lvl w:ilvl="0" w:tplc="3ADC53C8">
      <w:start w:val="1"/>
      <w:numFmt w:val="decimal"/>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7">
    <w:nsid w:val="344442CE"/>
    <w:multiLevelType w:val="multilevel"/>
    <w:tmpl w:val="23D04EFC"/>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6429F7"/>
    <w:multiLevelType w:val="hybridMultilevel"/>
    <w:tmpl w:val="68586E8C"/>
    <w:lvl w:ilvl="0" w:tplc="340A0017">
      <w:start w:val="1"/>
      <w:numFmt w:val="lowerLetter"/>
      <w:lvlText w:val="%1)"/>
      <w:lvlJc w:val="left"/>
      <w:pPr>
        <w:ind w:left="1083" w:hanging="360"/>
      </w:pPr>
    </w:lvl>
    <w:lvl w:ilvl="1" w:tplc="340A0019" w:tentative="1">
      <w:start w:val="1"/>
      <w:numFmt w:val="lowerLetter"/>
      <w:lvlText w:val="%2."/>
      <w:lvlJc w:val="left"/>
      <w:pPr>
        <w:ind w:left="1803" w:hanging="360"/>
      </w:pPr>
    </w:lvl>
    <w:lvl w:ilvl="2" w:tplc="340A001B" w:tentative="1">
      <w:start w:val="1"/>
      <w:numFmt w:val="lowerRoman"/>
      <w:lvlText w:val="%3."/>
      <w:lvlJc w:val="right"/>
      <w:pPr>
        <w:ind w:left="2523" w:hanging="180"/>
      </w:pPr>
    </w:lvl>
    <w:lvl w:ilvl="3" w:tplc="340A000F" w:tentative="1">
      <w:start w:val="1"/>
      <w:numFmt w:val="decimal"/>
      <w:lvlText w:val="%4."/>
      <w:lvlJc w:val="left"/>
      <w:pPr>
        <w:ind w:left="3243" w:hanging="360"/>
      </w:pPr>
    </w:lvl>
    <w:lvl w:ilvl="4" w:tplc="340A0019" w:tentative="1">
      <w:start w:val="1"/>
      <w:numFmt w:val="lowerLetter"/>
      <w:lvlText w:val="%5."/>
      <w:lvlJc w:val="left"/>
      <w:pPr>
        <w:ind w:left="3963" w:hanging="360"/>
      </w:pPr>
    </w:lvl>
    <w:lvl w:ilvl="5" w:tplc="340A001B" w:tentative="1">
      <w:start w:val="1"/>
      <w:numFmt w:val="lowerRoman"/>
      <w:lvlText w:val="%6."/>
      <w:lvlJc w:val="right"/>
      <w:pPr>
        <w:ind w:left="4683" w:hanging="180"/>
      </w:pPr>
    </w:lvl>
    <w:lvl w:ilvl="6" w:tplc="340A000F" w:tentative="1">
      <w:start w:val="1"/>
      <w:numFmt w:val="decimal"/>
      <w:lvlText w:val="%7."/>
      <w:lvlJc w:val="left"/>
      <w:pPr>
        <w:ind w:left="5403" w:hanging="360"/>
      </w:pPr>
    </w:lvl>
    <w:lvl w:ilvl="7" w:tplc="340A0019" w:tentative="1">
      <w:start w:val="1"/>
      <w:numFmt w:val="lowerLetter"/>
      <w:lvlText w:val="%8."/>
      <w:lvlJc w:val="left"/>
      <w:pPr>
        <w:ind w:left="6123" w:hanging="360"/>
      </w:pPr>
    </w:lvl>
    <w:lvl w:ilvl="8" w:tplc="340A001B" w:tentative="1">
      <w:start w:val="1"/>
      <w:numFmt w:val="lowerRoman"/>
      <w:lvlText w:val="%9."/>
      <w:lvlJc w:val="right"/>
      <w:pPr>
        <w:ind w:left="6843" w:hanging="180"/>
      </w:pPr>
    </w:lvl>
  </w:abstractNum>
  <w:abstractNum w:abstractNumId="19">
    <w:nsid w:val="38402C5F"/>
    <w:multiLevelType w:val="multilevel"/>
    <w:tmpl w:val="E520B97C"/>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9234D4"/>
    <w:multiLevelType w:val="multilevel"/>
    <w:tmpl w:val="C9708832"/>
    <w:lvl w:ilvl="0">
      <w:start w:val="1"/>
      <w:numFmt w:val="decimal"/>
      <w:lvlText w:val="(%1)"/>
      <w:lvlJc w:val="left"/>
      <w:pPr>
        <w:ind w:left="780" w:hanging="420"/>
      </w:pPr>
      <w:rPr>
        <w:rFonts w:ascii="Garamond" w:hAnsi="Garamond"/>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79109C"/>
    <w:multiLevelType w:val="multilevel"/>
    <w:tmpl w:val="BEF44D0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CD0EA3"/>
    <w:multiLevelType w:val="hybridMultilevel"/>
    <w:tmpl w:val="2380577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747288C"/>
    <w:multiLevelType w:val="multilevel"/>
    <w:tmpl w:val="6D5A92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D82C45"/>
    <w:multiLevelType w:val="hybridMultilevel"/>
    <w:tmpl w:val="D1ECF982"/>
    <w:lvl w:ilvl="0" w:tplc="ADC03246">
      <w:start w:val="1"/>
      <w:numFmt w:val="decimal"/>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5">
    <w:nsid w:val="514D3F46"/>
    <w:multiLevelType w:val="hybridMultilevel"/>
    <w:tmpl w:val="4EF219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4AC2328"/>
    <w:multiLevelType w:val="hybridMultilevel"/>
    <w:tmpl w:val="E3D617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C20748A"/>
    <w:multiLevelType w:val="multilevel"/>
    <w:tmpl w:val="39C47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2F23A8"/>
    <w:multiLevelType w:val="hybridMultilevel"/>
    <w:tmpl w:val="50BA8514"/>
    <w:lvl w:ilvl="0" w:tplc="D9820176">
      <w:start w:val="2"/>
      <w:numFmt w:val="bullet"/>
      <w:lvlText w:val="–"/>
      <w:lvlJc w:val="left"/>
      <w:pPr>
        <w:ind w:left="720" w:hanging="360"/>
      </w:pPr>
      <w:rPr>
        <w:rFonts w:ascii="Myriad Pro" w:eastAsia="Times New Roman" w:hAnsi="Myriad Pro"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616360F"/>
    <w:multiLevelType w:val="hybridMultilevel"/>
    <w:tmpl w:val="E0AA8B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77E28E3"/>
    <w:multiLevelType w:val="multilevel"/>
    <w:tmpl w:val="A93C1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160AAA"/>
    <w:multiLevelType w:val="multilevel"/>
    <w:tmpl w:val="85A44430"/>
    <w:lvl w:ilvl="0">
      <w:start w:val="1"/>
      <w:numFmt w:val="upperRoman"/>
      <w:lvlText w:val="%1."/>
      <w:lvlJc w:val="right"/>
      <w:pPr>
        <w:ind w:left="720" w:hanging="1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ind w:left="288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CFE7645"/>
    <w:multiLevelType w:val="multilevel"/>
    <w:tmpl w:val="EB34ABC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5"/>
  </w:num>
  <w:num w:numId="3">
    <w:abstractNumId w:val="18"/>
  </w:num>
  <w:num w:numId="4">
    <w:abstractNumId w:val="26"/>
  </w:num>
  <w:num w:numId="5">
    <w:abstractNumId w:val="25"/>
  </w:num>
  <w:num w:numId="6">
    <w:abstractNumId w:val="10"/>
  </w:num>
  <w:num w:numId="7">
    <w:abstractNumId w:val="5"/>
  </w:num>
  <w:num w:numId="8">
    <w:abstractNumId w:val="11"/>
  </w:num>
  <w:num w:numId="9">
    <w:abstractNumId w:val="0"/>
  </w:num>
  <w:num w:numId="10">
    <w:abstractNumId w:val="29"/>
  </w:num>
  <w:num w:numId="11">
    <w:abstractNumId w:val="31"/>
  </w:num>
  <w:num w:numId="12">
    <w:abstractNumId w:val="13"/>
  </w:num>
  <w:num w:numId="13">
    <w:abstractNumId w:val="9"/>
  </w:num>
  <w:num w:numId="14">
    <w:abstractNumId w:val="8"/>
  </w:num>
  <w:num w:numId="15">
    <w:abstractNumId w:val="32"/>
  </w:num>
  <w:num w:numId="16">
    <w:abstractNumId w:val="1"/>
  </w:num>
  <w:num w:numId="17">
    <w:abstractNumId w:val="14"/>
  </w:num>
  <w:num w:numId="18">
    <w:abstractNumId w:val="21"/>
  </w:num>
  <w:num w:numId="19">
    <w:abstractNumId w:val="23"/>
  </w:num>
  <w:num w:numId="20">
    <w:abstractNumId w:val="19"/>
  </w:num>
  <w:num w:numId="21">
    <w:abstractNumId w:val="20"/>
  </w:num>
  <w:num w:numId="22">
    <w:abstractNumId w:val="30"/>
  </w:num>
  <w:num w:numId="23">
    <w:abstractNumId w:val="27"/>
  </w:num>
  <w:num w:numId="24">
    <w:abstractNumId w:val="2"/>
  </w:num>
  <w:num w:numId="25">
    <w:abstractNumId w:val="12"/>
  </w:num>
  <w:num w:numId="26">
    <w:abstractNumId w:val="22"/>
  </w:num>
  <w:num w:numId="27">
    <w:abstractNumId w:val="6"/>
  </w:num>
  <w:num w:numId="28">
    <w:abstractNumId w:val="16"/>
  </w:num>
  <w:num w:numId="29">
    <w:abstractNumId w:val="24"/>
  </w:num>
  <w:num w:numId="30">
    <w:abstractNumId w:val="17"/>
  </w:num>
  <w:num w:numId="31">
    <w:abstractNumId w:val="7"/>
  </w:num>
  <w:num w:numId="32">
    <w:abstractNumId w:val="4"/>
  </w:num>
  <w:num w:numId="33">
    <w:abstractNumId w:val="24"/>
    <w:lvlOverride w:ilvl="0">
      <w:startOverride w:val="2"/>
    </w:lvlOverride>
  </w:num>
  <w:num w:numId="3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55"/>
    <w:rsid w:val="00000170"/>
    <w:rsid w:val="0000076E"/>
    <w:rsid w:val="00000DBE"/>
    <w:rsid w:val="000013B5"/>
    <w:rsid w:val="000023CA"/>
    <w:rsid w:val="000025F6"/>
    <w:rsid w:val="00002FDF"/>
    <w:rsid w:val="0000351F"/>
    <w:rsid w:val="000049B5"/>
    <w:rsid w:val="00005375"/>
    <w:rsid w:val="000055E8"/>
    <w:rsid w:val="00005AD5"/>
    <w:rsid w:val="00006506"/>
    <w:rsid w:val="00006548"/>
    <w:rsid w:val="0000706F"/>
    <w:rsid w:val="00007203"/>
    <w:rsid w:val="00007838"/>
    <w:rsid w:val="00007CE8"/>
    <w:rsid w:val="00010EFF"/>
    <w:rsid w:val="00010FCD"/>
    <w:rsid w:val="00011114"/>
    <w:rsid w:val="00011198"/>
    <w:rsid w:val="000114E3"/>
    <w:rsid w:val="0001174A"/>
    <w:rsid w:val="00011C08"/>
    <w:rsid w:val="00012786"/>
    <w:rsid w:val="00012B27"/>
    <w:rsid w:val="000131BD"/>
    <w:rsid w:val="000147DA"/>
    <w:rsid w:val="00014B58"/>
    <w:rsid w:val="00014BBA"/>
    <w:rsid w:val="00014BEE"/>
    <w:rsid w:val="00014D5A"/>
    <w:rsid w:val="0001522E"/>
    <w:rsid w:val="00015547"/>
    <w:rsid w:val="0001608B"/>
    <w:rsid w:val="0001616B"/>
    <w:rsid w:val="000164E9"/>
    <w:rsid w:val="00016F1A"/>
    <w:rsid w:val="0001706A"/>
    <w:rsid w:val="00017A62"/>
    <w:rsid w:val="00020DD6"/>
    <w:rsid w:val="0002188E"/>
    <w:rsid w:val="000227E8"/>
    <w:rsid w:val="00022B83"/>
    <w:rsid w:val="00023A67"/>
    <w:rsid w:val="0002437E"/>
    <w:rsid w:val="00024977"/>
    <w:rsid w:val="0002518D"/>
    <w:rsid w:val="000252D8"/>
    <w:rsid w:val="00025465"/>
    <w:rsid w:val="000259A3"/>
    <w:rsid w:val="000262CB"/>
    <w:rsid w:val="00026608"/>
    <w:rsid w:val="00026F57"/>
    <w:rsid w:val="0002748E"/>
    <w:rsid w:val="00027EA9"/>
    <w:rsid w:val="00027ED2"/>
    <w:rsid w:val="00027F66"/>
    <w:rsid w:val="00031183"/>
    <w:rsid w:val="00031AAB"/>
    <w:rsid w:val="00032606"/>
    <w:rsid w:val="000326AF"/>
    <w:rsid w:val="00032FDB"/>
    <w:rsid w:val="0003336C"/>
    <w:rsid w:val="000337FF"/>
    <w:rsid w:val="00033A4C"/>
    <w:rsid w:val="00033C9E"/>
    <w:rsid w:val="00034880"/>
    <w:rsid w:val="00035197"/>
    <w:rsid w:val="0003524B"/>
    <w:rsid w:val="00035801"/>
    <w:rsid w:val="00035DC9"/>
    <w:rsid w:val="00035E7F"/>
    <w:rsid w:val="000360D3"/>
    <w:rsid w:val="00036751"/>
    <w:rsid w:val="00036861"/>
    <w:rsid w:val="00036AAF"/>
    <w:rsid w:val="00036D52"/>
    <w:rsid w:val="00036E08"/>
    <w:rsid w:val="00036F78"/>
    <w:rsid w:val="000370B0"/>
    <w:rsid w:val="00037502"/>
    <w:rsid w:val="00037B7D"/>
    <w:rsid w:val="000402FA"/>
    <w:rsid w:val="0004053A"/>
    <w:rsid w:val="00040F2F"/>
    <w:rsid w:val="00040F48"/>
    <w:rsid w:val="000417BA"/>
    <w:rsid w:val="00041C77"/>
    <w:rsid w:val="0004308E"/>
    <w:rsid w:val="0004329F"/>
    <w:rsid w:val="00043976"/>
    <w:rsid w:val="0004494C"/>
    <w:rsid w:val="0004495F"/>
    <w:rsid w:val="00044A28"/>
    <w:rsid w:val="00045958"/>
    <w:rsid w:val="00046650"/>
    <w:rsid w:val="000513AA"/>
    <w:rsid w:val="00051B65"/>
    <w:rsid w:val="000520CC"/>
    <w:rsid w:val="000525FB"/>
    <w:rsid w:val="00052707"/>
    <w:rsid w:val="00052866"/>
    <w:rsid w:val="000529C2"/>
    <w:rsid w:val="000529F1"/>
    <w:rsid w:val="000542E6"/>
    <w:rsid w:val="00055239"/>
    <w:rsid w:val="00055B11"/>
    <w:rsid w:val="00055C35"/>
    <w:rsid w:val="00056137"/>
    <w:rsid w:val="00056925"/>
    <w:rsid w:val="00057898"/>
    <w:rsid w:val="00057D04"/>
    <w:rsid w:val="00057ECD"/>
    <w:rsid w:val="0006037A"/>
    <w:rsid w:val="00060D2A"/>
    <w:rsid w:val="00060F91"/>
    <w:rsid w:val="00061396"/>
    <w:rsid w:val="0006155C"/>
    <w:rsid w:val="000620CA"/>
    <w:rsid w:val="0006312F"/>
    <w:rsid w:val="000633F6"/>
    <w:rsid w:val="00063953"/>
    <w:rsid w:val="00063A9B"/>
    <w:rsid w:val="00064141"/>
    <w:rsid w:val="000643D0"/>
    <w:rsid w:val="00064541"/>
    <w:rsid w:val="00064A47"/>
    <w:rsid w:val="00064B00"/>
    <w:rsid w:val="00064C23"/>
    <w:rsid w:val="00065065"/>
    <w:rsid w:val="00065237"/>
    <w:rsid w:val="00065E65"/>
    <w:rsid w:val="00065EFA"/>
    <w:rsid w:val="00066878"/>
    <w:rsid w:val="00066989"/>
    <w:rsid w:val="00066A0A"/>
    <w:rsid w:val="00066C87"/>
    <w:rsid w:val="00067A00"/>
    <w:rsid w:val="00067B53"/>
    <w:rsid w:val="0007052B"/>
    <w:rsid w:val="00071781"/>
    <w:rsid w:val="0007220B"/>
    <w:rsid w:val="00072512"/>
    <w:rsid w:val="000729F2"/>
    <w:rsid w:val="00072DCC"/>
    <w:rsid w:val="00073C88"/>
    <w:rsid w:val="00073F5C"/>
    <w:rsid w:val="000743D2"/>
    <w:rsid w:val="000744C0"/>
    <w:rsid w:val="0007453D"/>
    <w:rsid w:val="00075898"/>
    <w:rsid w:val="00075DAE"/>
    <w:rsid w:val="0007602B"/>
    <w:rsid w:val="000768D7"/>
    <w:rsid w:val="00077249"/>
    <w:rsid w:val="00077B23"/>
    <w:rsid w:val="00077DDF"/>
    <w:rsid w:val="00077ED8"/>
    <w:rsid w:val="000805FF"/>
    <w:rsid w:val="00080DFD"/>
    <w:rsid w:val="00081D80"/>
    <w:rsid w:val="0008229F"/>
    <w:rsid w:val="000827F1"/>
    <w:rsid w:val="00082BC6"/>
    <w:rsid w:val="0008318F"/>
    <w:rsid w:val="000834AB"/>
    <w:rsid w:val="0008370D"/>
    <w:rsid w:val="00083738"/>
    <w:rsid w:val="00083C0B"/>
    <w:rsid w:val="00083E6C"/>
    <w:rsid w:val="000843E6"/>
    <w:rsid w:val="0008520C"/>
    <w:rsid w:val="00085B41"/>
    <w:rsid w:val="00085F4D"/>
    <w:rsid w:val="00085F56"/>
    <w:rsid w:val="00086784"/>
    <w:rsid w:val="00086B92"/>
    <w:rsid w:val="00090AE0"/>
    <w:rsid w:val="00090D21"/>
    <w:rsid w:val="000915F4"/>
    <w:rsid w:val="00092254"/>
    <w:rsid w:val="0009230B"/>
    <w:rsid w:val="00093542"/>
    <w:rsid w:val="00093F0E"/>
    <w:rsid w:val="00094325"/>
    <w:rsid w:val="000951BD"/>
    <w:rsid w:val="00095A86"/>
    <w:rsid w:val="00096358"/>
    <w:rsid w:val="000968D5"/>
    <w:rsid w:val="00097107"/>
    <w:rsid w:val="00097940"/>
    <w:rsid w:val="00097A67"/>
    <w:rsid w:val="00097A8C"/>
    <w:rsid w:val="000A0CB7"/>
    <w:rsid w:val="000A2358"/>
    <w:rsid w:val="000A235C"/>
    <w:rsid w:val="000A2C29"/>
    <w:rsid w:val="000A2F03"/>
    <w:rsid w:val="000A33F1"/>
    <w:rsid w:val="000A3F7C"/>
    <w:rsid w:val="000A53EC"/>
    <w:rsid w:val="000A5402"/>
    <w:rsid w:val="000A5A3E"/>
    <w:rsid w:val="000A6D46"/>
    <w:rsid w:val="000A6F9B"/>
    <w:rsid w:val="000A7705"/>
    <w:rsid w:val="000A7840"/>
    <w:rsid w:val="000A7BB9"/>
    <w:rsid w:val="000B04A3"/>
    <w:rsid w:val="000B04C3"/>
    <w:rsid w:val="000B069B"/>
    <w:rsid w:val="000B0867"/>
    <w:rsid w:val="000B095A"/>
    <w:rsid w:val="000B0DB1"/>
    <w:rsid w:val="000B11D2"/>
    <w:rsid w:val="000B15E0"/>
    <w:rsid w:val="000B1EA3"/>
    <w:rsid w:val="000B20AA"/>
    <w:rsid w:val="000B23A8"/>
    <w:rsid w:val="000B288A"/>
    <w:rsid w:val="000B2940"/>
    <w:rsid w:val="000B310D"/>
    <w:rsid w:val="000B3DE2"/>
    <w:rsid w:val="000B4428"/>
    <w:rsid w:val="000B4645"/>
    <w:rsid w:val="000B46C4"/>
    <w:rsid w:val="000B4728"/>
    <w:rsid w:val="000B4C56"/>
    <w:rsid w:val="000B54F1"/>
    <w:rsid w:val="000B5663"/>
    <w:rsid w:val="000B612B"/>
    <w:rsid w:val="000B6852"/>
    <w:rsid w:val="000B6B0A"/>
    <w:rsid w:val="000B6DF2"/>
    <w:rsid w:val="000B7213"/>
    <w:rsid w:val="000C0435"/>
    <w:rsid w:val="000C0B7A"/>
    <w:rsid w:val="000C0BCA"/>
    <w:rsid w:val="000C0DD9"/>
    <w:rsid w:val="000C1C5C"/>
    <w:rsid w:val="000C21E0"/>
    <w:rsid w:val="000C249D"/>
    <w:rsid w:val="000C26DE"/>
    <w:rsid w:val="000C27E0"/>
    <w:rsid w:val="000C3470"/>
    <w:rsid w:val="000C3894"/>
    <w:rsid w:val="000C3D28"/>
    <w:rsid w:val="000C3E0C"/>
    <w:rsid w:val="000C3FBD"/>
    <w:rsid w:val="000C4CDA"/>
    <w:rsid w:val="000C5DBC"/>
    <w:rsid w:val="000C663B"/>
    <w:rsid w:val="000C6AAA"/>
    <w:rsid w:val="000C7343"/>
    <w:rsid w:val="000C7E55"/>
    <w:rsid w:val="000C7F8C"/>
    <w:rsid w:val="000D0B3B"/>
    <w:rsid w:val="000D0DBC"/>
    <w:rsid w:val="000D1077"/>
    <w:rsid w:val="000D15D3"/>
    <w:rsid w:val="000D1957"/>
    <w:rsid w:val="000D1DAF"/>
    <w:rsid w:val="000D242C"/>
    <w:rsid w:val="000D2545"/>
    <w:rsid w:val="000D2B2C"/>
    <w:rsid w:val="000D2FFB"/>
    <w:rsid w:val="000D3134"/>
    <w:rsid w:val="000D3527"/>
    <w:rsid w:val="000D3588"/>
    <w:rsid w:val="000D37BA"/>
    <w:rsid w:val="000D4D63"/>
    <w:rsid w:val="000D528E"/>
    <w:rsid w:val="000D61AB"/>
    <w:rsid w:val="000D67D6"/>
    <w:rsid w:val="000D6C4F"/>
    <w:rsid w:val="000D6FCC"/>
    <w:rsid w:val="000D71C0"/>
    <w:rsid w:val="000D7363"/>
    <w:rsid w:val="000E0692"/>
    <w:rsid w:val="000E16F3"/>
    <w:rsid w:val="000E18DE"/>
    <w:rsid w:val="000E20EA"/>
    <w:rsid w:val="000E23E7"/>
    <w:rsid w:val="000E33B2"/>
    <w:rsid w:val="000E345A"/>
    <w:rsid w:val="000E4340"/>
    <w:rsid w:val="000E489A"/>
    <w:rsid w:val="000E55F2"/>
    <w:rsid w:val="000E59E3"/>
    <w:rsid w:val="000F0655"/>
    <w:rsid w:val="000F0C42"/>
    <w:rsid w:val="000F134E"/>
    <w:rsid w:val="000F22E6"/>
    <w:rsid w:val="000F2C59"/>
    <w:rsid w:val="000F3A88"/>
    <w:rsid w:val="000F4183"/>
    <w:rsid w:val="000F4429"/>
    <w:rsid w:val="000F4C54"/>
    <w:rsid w:val="000F4DAE"/>
    <w:rsid w:val="000F57AD"/>
    <w:rsid w:val="000F5E3D"/>
    <w:rsid w:val="000F62DB"/>
    <w:rsid w:val="000F6E35"/>
    <w:rsid w:val="000F765A"/>
    <w:rsid w:val="001004B0"/>
    <w:rsid w:val="0010063C"/>
    <w:rsid w:val="00100F5B"/>
    <w:rsid w:val="0010100A"/>
    <w:rsid w:val="00101309"/>
    <w:rsid w:val="00101563"/>
    <w:rsid w:val="001020A9"/>
    <w:rsid w:val="00102196"/>
    <w:rsid w:val="001029F0"/>
    <w:rsid w:val="00102C6E"/>
    <w:rsid w:val="00102D04"/>
    <w:rsid w:val="00103DB0"/>
    <w:rsid w:val="00103E45"/>
    <w:rsid w:val="00103FF5"/>
    <w:rsid w:val="00104ACE"/>
    <w:rsid w:val="0010518B"/>
    <w:rsid w:val="001059F3"/>
    <w:rsid w:val="00106103"/>
    <w:rsid w:val="001069D8"/>
    <w:rsid w:val="00107491"/>
    <w:rsid w:val="0010771A"/>
    <w:rsid w:val="00107ECF"/>
    <w:rsid w:val="001100BF"/>
    <w:rsid w:val="001107DA"/>
    <w:rsid w:val="001109E9"/>
    <w:rsid w:val="00110DD3"/>
    <w:rsid w:val="00110FE9"/>
    <w:rsid w:val="00111914"/>
    <w:rsid w:val="00111FA5"/>
    <w:rsid w:val="00112DCC"/>
    <w:rsid w:val="00112EE2"/>
    <w:rsid w:val="00113280"/>
    <w:rsid w:val="00113605"/>
    <w:rsid w:val="0011364F"/>
    <w:rsid w:val="00113EF5"/>
    <w:rsid w:val="00114137"/>
    <w:rsid w:val="001152C6"/>
    <w:rsid w:val="00115463"/>
    <w:rsid w:val="001156E1"/>
    <w:rsid w:val="00115847"/>
    <w:rsid w:val="00115CC8"/>
    <w:rsid w:val="0011636F"/>
    <w:rsid w:val="001164F7"/>
    <w:rsid w:val="001166C0"/>
    <w:rsid w:val="00117364"/>
    <w:rsid w:val="0011737C"/>
    <w:rsid w:val="0011770D"/>
    <w:rsid w:val="00120AC4"/>
    <w:rsid w:val="00121653"/>
    <w:rsid w:val="00121848"/>
    <w:rsid w:val="0012242B"/>
    <w:rsid w:val="00122569"/>
    <w:rsid w:val="00123145"/>
    <w:rsid w:val="00123EB0"/>
    <w:rsid w:val="00124364"/>
    <w:rsid w:val="001243A4"/>
    <w:rsid w:val="0012472F"/>
    <w:rsid w:val="001247CA"/>
    <w:rsid w:val="00124FB8"/>
    <w:rsid w:val="001251E3"/>
    <w:rsid w:val="00125305"/>
    <w:rsid w:val="001254EF"/>
    <w:rsid w:val="0012684D"/>
    <w:rsid w:val="001271EA"/>
    <w:rsid w:val="001278A7"/>
    <w:rsid w:val="00130912"/>
    <w:rsid w:val="001315BA"/>
    <w:rsid w:val="001318F1"/>
    <w:rsid w:val="00131ADF"/>
    <w:rsid w:val="00132127"/>
    <w:rsid w:val="00132578"/>
    <w:rsid w:val="00132744"/>
    <w:rsid w:val="00132972"/>
    <w:rsid w:val="00132D6C"/>
    <w:rsid w:val="00133000"/>
    <w:rsid w:val="00133115"/>
    <w:rsid w:val="0013314C"/>
    <w:rsid w:val="00133373"/>
    <w:rsid w:val="001338CF"/>
    <w:rsid w:val="00134DA3"/>
    <w:rsid w:val="00135D7C"/>
    <w:rsid w:val="00135F7B"/>
    <w:rsid w:val="00136D29"/>
    <w:rsid w:val="001372DD"/>
    <w:rsid w:val="0013750A"/>
    <w:rsid w:val="00137679"/>
    <w:rsid w:val="00140492"/>
    <w:rsid w:val="0014049B"/>
    <w:rsid w:val="001404FD"/>
    <w:rsid w:val="0014145F"/>
    <w:rsid w:val="001417C2"/>
    <w:rsid w:val="001418C0"/>
    <w:rsid w:val="00141BB8"/>
    <w:rsid w:val="00142912"/>
    <w:rsid w:val="0014304C"/>
    <w:rsid w:val="001434D5"/>
    <w:rsid w:val="00143770"/>
    <w:rsid w:val="00143784"/>
    <w:rsid w:val="001437AD"/>
    <w:rsid w:val="001439B9"/>
    <w:rsid w:val="00143A25"/>
    <w:rsid w:val="00143A2F"/>
    <w:rsid w:val="00144ADF"/>
    <w:rsid w:val="00145A16"/>
    <w:rsid w:val="00145B68"/>
    <w:rsid w:val="001463F9"/>
    <w:rsid w:val="00147846"/>
    <w:rsid w:val="00147903"/>
    <w:rsid w:val="00147A7A"/>
    <w:rsid w:val="001516A5"/>
    <w:rsid w:val="00152624"/>
    <w:rsid w:val="00152632"/>
    <w:rsid w:val="00152DA0"/>
    <w:rsid w:val="001539FE"/>
    <w:rsid w:val="00153AAE"/>
    <w:rsid w:val="001542B3"/>
    <w:rsid w:val="001547B5"/>
    <w:rsid w:val="001553E5"/>
    <w:rsid w:val="00155A05"/>
    <w:rsid w:val="0015636B"/>
    <w:rsid w:val="001567B6"/>
    <w:rsid w:val="00156C69"/>
    <w:rsid w:val="00156ECE"/>
    <w:rsid w:val="00157303"/>
    <w:rsid w:val="00157C7B"/>
    <w:rsid w:val="00157CFC"/>
    <w:rsid w:val="00157D5C"/>
    <w:rsid w:val="001607ED"/>
    <w:rsid w:val="00162831"/>
    <w:rsid w:val="001628B5"/>
    <w:rsid w:val="00162C7D"/>
    <w:rsid w:val="00164715"/>
    <w:rsid w:val="00164BB7"/>
    <w:rsid w:val="00164C76"/>
    <w:rsid w:val="0016524E"/>
    <w:rsid w:val="001657D8"/>
    <w:rsid w:val="001658C6"/>
    <w:rsid w:val="00165D15"/>
    <w:rsid w:val="00165D94"/>
    <w:rsid w:val="00165EC3"/>
    <w:rsid w:val="0016688E"/>
    <w:rsid w:val="00166D81"/>
    <w:rsid w:val="00166F62"/>
    <w:rsid w:val="00167497"/>
    <w:rsid w:val="001677C8"/>
    <w:rsid w:val="00167BD0"/>
    <w:rsid w:val="00167CFD"/>
    <w:rsid w:val="00167E80"/>
    <w:rsid w:val="00170136"/>
    <w:rsid w:val="0017022E"/>
    <w:rsid w:val="001710B7"/>
    <w:rsid w:val="00171A4E"/>
    <w:rsid w:val="00171ABA"/>
    <w:rsid w:val="00171F40"/>
    <w:rsid w:val="00171FF4"/>
    <w:rsid w:val="00172BF1"/>
    <w:rsid w:val="00172ED2"/>
    <w:rsid w:val="001734F7"/>
    <w:rsid w:val="00173FA0"/>
    <w:rsid w:val="00174045"/>
    <w:rsid w:val="0017409E"/>
    <w:rsid w:val="00174605"/>
    <w:rsid w:val="00174BBF"/>
    <w:rsid w:val="00174EA5"/>
    <w:rsid w:val="00175129"/>
    <w:rsid w:val="0017524D"/>
    <w:rsid w:val="00175472"/>
    <w:rsid w:val="0017572C"/>
    <w:rsid w:val="00177782"/>
    <w:rsid w:val="00180748"/>
    <w:rsid w:val="00180824"/>
    <w:rsid w:val="00180938"/>
    <w:rsid w:val="00180C9D"/>
    <w:rsid w:val="00181390"/>
    <w:rsid w:val="00181D9C"/>
    <w:rsid w:val="001826FD"/>
    <w:rsid w:val="00183E14"/>
    <w:rsid w:val="0018406B"/>
    <w:rsid w:val="00184E90"/>
    <w:rsid w:val="00184F20"/>
    <w:rsid w:val="00185000"/>
    <w:rsid w:val="001854D6"/>
    <w:rsid w:val="00185622"/>
    <w:rsid w:val="00185C5C"/>
    <w:rsid w:val="00185C9F"/>
    <w:rsid w:val="0018617D"/>
    <w:rsid w:val="00186396"/>
    <w:rsid w:val="0018650C"/>
    <w:rsid w:val="00186A2A"/>
    <w:rsid w:val="001874B0"/>
    <w:rsid w:val="001902C1"/>
    <w:rsid w:val="001908D5"/>
    <w:rsid w:val="0019114F"/>
    <w:rsid w:val="00191E52"/>
    <w:rsid w:val="00191FDA"/>
    <w:rsid w:val="001927B0"/>
    <w:rsid w:val="00192F0F"/>
    <w:rsid w:val="00193AB6"/>
    <w:rsid w:val="00193E04"/>
    <w:rsid w:val="00194E40"/>
    <w:rsid w:val="0019561E"/>
    <w:rsid w:val="0019576A"/>
    <w:rsid w:val="00195F4C"/>
    <w:rsid w:val="0019606E"/>
    <w:rsid w:val="001965F4"/>
    <w:rsid w:val="00196780"/>
    <w:rsid w:val="0019696D"/>
    <w:rsid w:val="001A17EE"/>
    <w:rsid w:val="001A1B72"/>
    <w:rsid w:val="001A1C92"/>
    <w:rsid w:val="001A1CB4"/>
    <w:rsid w:val="001A2057"/>
    <w:rsid w:val="001A286A"/>
    <w:rsid w:val="001A3087"/>
    <w:rsid w:val="001A35E1"/>
    <w:rsid w:val="001A37AD"/>
    <w:rsid w:val="001A476C"/>
    <w:rsid w:val="001A5BC7"/>
    <w:rsid w:val="001A5BFC"/>
    <w:rsid w:val="001A6842"/>
    <w:rsid w:val="001A6933"/>
    <w:rsid w:val="001A693A"/>
    <w:rsid w:val="001A70FD"/>
    <w:rsid w:val="001A7562"/>
    <w:rsid w:val="001A7889"/>
    <w:rsid w:val="001A7DF4"/>
    <w:rsid w:val="001A7F2D"/>
    <w:rsid w:val="001B0521"/>
    <w:rsid w:val="001B0F50"/>
    <w:rsid w:val="001B1068"/>
    <w:rsid w:val="001B15A1"/>
    <w:rsid w:val="001B1730"/>
    <w:rsid w:val="001B17F2"/>
    <w:rsid w:val="001B1DB3"/>
    <w:rsid w:val="001B1FBF"/>
    <w:rsid w:val="001B228E"/>
    <w:rsid w:val="001B3DB9"/>
    <w:rsid w:val="001B5700"/>
    <w:rsid w:val="001B5AB2"/>
    <w:rsid w:val="001B5F4B"/>
    <w:rsid w:val="001B621D"/>
    <w:rsid w:val="001B6396"/>
    <w:rsid w:val="001B6418"/>
    <w:rsid w:val="001B6F57"/>
    <w:rsid w:val="001B7D1B"/>
    <w:rsid w:val="001C0DD9"/>
    <w:rsid w:val="001C1A41"/>
    <w:rsid w:val="001C2373"/>
    <w:rsid w:val="001C3087"/>
    <w:rsid w:val="001C377D"/>
    <w:rsid w:val="001C3D80"/>
    <w:rsid w:val="001C4171"/>
    <w:rsid w:val="001C4EAE"/>
    <w:rsid w:val="001C4ED2"/>
    <w:rsid w:val="001C4FA8"/>
    <w:rsid w:val="001C5ABA"/>
    <w:rsid w:val="001C663D"/>
    <w:rsid w:val="001C6FDB"/>
    <w:rsid w:val="001C7568"/>
    <w:rsid w:val="001C77DC"/>
    <w:rsid w:val="001D0048"/>
    <w:rsid w:val="001D0907"/>
    <w:rsid w:val="001D0916"/>
    <w:rsid w:val="001D0EBA"/>
    <w:rsid w:val="001D1461"/>
    <w:rsid w:val="001D1916"/>
    <w:rsid w:val="001D19B5"/>
    <w:rsid w:val="001D280A"/>
    <w:rsid w:val="001D2ADA"/>
    <w:rsid w:val="001D356A"/>
    <w:rsid w:val="001D3A55"/>
    <w:rsid w:val="001D3AA8"/>
    <w:rsid w:val="001D3E0E"/>
    <w:rsid w:val="001D3E68"/>
    <w:rsid w:val="001D5BAC"/>
    <w:rsid w:val="001D6A14"/>
    <w:rsid w:val="001D6F42"/>
    <w:rsid w:val="001D70F7"/>
    <w:rsid w:val="001D7612"/>
    <w:rsid w:val="001D7BDD"/>
    <w:rsid w:val="001E00C4"/>
    <w:rsid w:val="001E1632"/>
    <w:rsid w:val="001E18D1"/>
    <w:rsid w:val="001E1A68"/>
    <w:rsid w:val="001E1D4B"/>
    <w:rsid w:val="001E2110"/>
    <w:rsid w:val="001E21A3"/>
    <w:rsid w:val="001E268C"/>
    <w:rsid w:val="001E2CE9"/>
    <w:rsid w:val="001E3092"/>
    <w:rsid w:val="001E3E8B"/>
    <w:rsid w:val="001E4B7C"/>
    <w:rsid w:val="001E6AEC"/>
    <w:rsid w:val="001E6C55"/>
    <w:rsid w:val="001E6F90"/>
    <w:rsid w:val="001E6F94"/>
    <w:rsid w:val="001E799A"/>
    <w:rsid w:val="001E7DA2"/>
    <w:rsid w:val="001E7F5D"/>
    <w:rsid w:val="001F02A4"/>
    <w:rsid w:val="001F1491"/>
    <w:rsid w:val="001F1BBC"/>
    <w:rsid w:val="001F1D24"/>
    <w:rsid w:val="001F1D9A"/>
    <w:rsid w:val="001F2E86"/>
    <w:rsid w:val="001F391F"/>
    <w:rsid w:val="001F392F"/>
    <w:rsid w:val="001F42A1"/>
    <w:rsid w:val="001F47FC"/>
    <w:rsid w:val="001F6385"/>
    <w:rsid w:val="001F65F6"/>
    <w:rsid w:val="001F675D"/>
    <w:rsid w:val="001F6866"/>
    <w:rsid w:val="001F72DA"/>
    <w:rsid w:val="001F7405"/>
    <w:rsid w:val="00200168"/>
    <w:rsid w:val="00200EC3"/>
    <w:rsid w:val="002013AD"/>
    <w:rsid w:val="00201E87"/>
    <w:rsid w:val="00201F39"/>
    <w:rsid w:val="00202B49"/>
    <w:rsid w:val="00203ADB"/>
    <w:rsid w:val="00203CE8"/>
    <w:rsid w:val="00205451"/>
    <w:rsid w:val="00205455"/>
    <w:rsid w:val="002056CF"/>
    <w:rsid w:val="0020595E"/>
    <w:rsid w:val="00205978"/>
    <w:rsid w:val="00205F3B"/>
    <w:rsid w:val="002064A1"/>
    <w:rsid w:val="00206D61"/>
    <w:rsid w:val="00207896"/>
    <w:rsid w:val="00210197"/>
    <w:rsid w:val="00210795"/>
    <w:rsid w:val="00210DF7"/>
    <w:rsid w:val="0021180E"/>
    <w:rsid w:val="00211B6C"/>
    <w:rsid w:val="00211C4A"/>
    <w:rsid w:val="00211C64"/>
    <w:rsid w:val="00212150"/>
    <w:rsid w:val="00212D04"/>
    <w:rsid w:val="00212F60"/>
    <w:rsid w:val="002130B0"/>
    <w:rsid w:val="00213649"/>
    <w:rsid w:val="00213895"/>
    <w:rsid w:val="00213A08"/>
    <w:rsid w:val="00214AB5"/>
    <w:rsid w:val="002159D6"/>
    <w:rsid w:val="0021682D"/>
    <w:rsid w:val="0021691A"/>
    <w:rsid w:val="002169FF"/>
    <w:rsid w:val="00216EDA"/>
    <w:rsid w:val="00217105"/>
    <w:rsid w:val="002205E0"/>
    <w:rsid w:val="00220AA5"/>
    <w:rsid w:val="00220D5A"/>
    <w:rsid w:val="002214C0"/>
    <w:rsid w:val="00222454"/>
    <w:rsid w:val="00222CA0"/>
    <w:rsid w:val="002232EA"/>
    <w:rsid w:val="00223830"/>
    <w:rsid w:val="00223DD8"/>
    <w:rsid w:val="00223F3C"/>
    <w:rsid w:val="00225D03"/>
    <w:rsid w:val="00225EC5"/>
    <w:rsid w:val="00226281"/>
    <w:rsid w:val="0022629E"/>
    <w:rsid w:val="002263DF"/>
    <w:rsid w:val="0023002F"/>
    <w:rsid w:val="002307E4"/>
    <w:rsid w:val="00230928"/>
    <w:rsid w:val="00230FF3"/>
    <w:rsid w:val="00231551"/>
    <w:rsid w:val="00231856"/>
    <w:rsid w:val="00233071"/>
    <w:rsid w:val="0023341A"/>
    <w:rsid w:val="002336B4"/>
    <w:rsid w:val="00233917"/>
    <w:rsid w:val="0023419B"/>
    <w:rsid w:val="0023450A"/>
    <w:rsid w:val="00234768"/>
    <w:rsid w:val="00234799"/>
    <w:rsid w:val="0023509A"/>
    <w:rsid w:val="002351C9"/>
    <w:rsid w:val="0023596E"/>
    <w:rsid w:val="00236FDB"/>
    <w:rsid w:val="002401C9"/>
    <w:rsid w:val="002409A3"/>
    <w:rsid w:val="00240B25"/>
    <w:rsid w:val="00241273"/>
    <w:rsid w:val="00241D85"/>
    <w:rsid w:val="0024338E"/>
    <w:rsid w:val="002437FB"/>
    <w:rsid w:val="00243921"/>
    <w:rsid w:val="00244576"/>
    <w:rsid w:val="0024477A"/>
    <w:rsid w:val="002447FB"/>
    <w:rsid w:val="00244B18"/>
    <w:rsid w:val="00244D83"/>
    <w:rsid w:val="002450EA"/>
    <w:rsid w:val="00246202"/>
    <w:rsid w:val="002469DD"/>
    <w:rsid w:val="00247559"/>
    <w:rsid w:val="00247630"/>
    <w:rsid w:val="002476A6"/>
    <w:rsid w:val="00247E8D"/>
    <w:rsid w:val="00250388"/>
    <w:rsid w:val="0025136D"/>
    <w:rsid w:val="00251718"/>
    <w:rsid w:val="0025197A"/>
    <w:rsid w:val="00251D27"/>
    <w:rsid w:val="00252597"/>
    <w:rsid w:val="00253092"/>
    <w:rsid w:val="002547A3"/>
    <w:rsid w:val="0025566E"/>
    <w:rsid w:val="002556E4"/>
    <w:rsid w:val="002565B5"/>
    <w:rsid w:val="0025692D"/>
    <w:rsid w:val="00256A0B"/>
    <w:rsid w:val="00256CA8"/>
    <w:rsid w:val="0025772D"/>
    <w:rsid w:val="00257B51"/>
    <w:rsid w:val="00257D83"/>
    <w:rsid w:val="0026045F"/>
    <w:rsid w:val="00260BF3"/>
    <w:rsid w:val="00261297"/>
    <w:rsid w:val="00262FED"/>
    <w:rsid w:val="00263089"/>
    <w:rsid w:val="00263570"/>
    <w:rsid w:val="002639D2"/>
    <w:rsid w:val="00263CCE"/>
    <w:rsid w:val="00265BEA"/>
    <w:rsid w:val="002663ED"/>
    <w:rsid w:val="00266ECE"/>
    <w:rsid w:val="00267A86"/>
    <w:rsid w:val="00267AD0"/>
    <w:rsid w:val="00267EF6"/>
    <w:rsid w:val="00270A07"/>
    <w:rsid w:val="00270B0C"/>
    <w:rsid w:val="00270EF7"/>
    <w:rsid w:val="00271774"/>
    <w:rsid w:val="00271D73"/>
    <w:rsid w:val="002729BD"/>
    <w:rsid w:val="00272E58"/>
    <w:rsid w:val="00273D8F"/>
    <w:rsid w:val="00274147"/>
    <w:rsid w:val="0027516A"/>
    <w:rsid w:val="00275964"/>
    <w:rsid w:val="00275BA7"/>
    <w:rsid w:val="00276C63"/>
    <w:rsid w:val="00276DD9"/>
    <w:rsid w:val="002776DF"/>
    <w:rsid w:val="00277832"/>
    <w:rsid w:val="002778C6"/>
    <w:rsid w:val="00280567"/>
    <w:rsid w:val="00280C19"/>
    <w:rsid w:val="00282553"/>
    <w:rsid w:val="0028368C"/>
    <w:rsid w:val="0028383B"/>
    <w:rsid w:val="00283CEB"/>
    <w:rsid w:val="00284D3E"/>
    <w:rsid w:val="00285D21"/>
    <w:rsid w:val="00286DCF"/>
    <w:rsid w:val="00287BC8"/>
    <w:rsid w:val="00290CC9"/>
    <w:rsid w:val="002911E2"/>
    <w:rsid w:val="002919CE"/>
    <w:rsid w:val="00291AC5"/>
    <w:rsid w:val="00291CD9"/>
    <w:rsid w:val="00295027"/>
    <w:rsid w:val="002951F7"/>
    <w:rsid w:val="002960AA"/>
    <w:rsid w:val="0029724C"/>
    <w:rsid w:val="00297CCD"/>
    <w:rsid w:val="002A0203"/>
    <w:rsid w:val="002A06BF"/>
    <w:rsid w:val="002A097F"/>
    <w:rsid w:val="002A0C1A"/>
    <w:rsid w:val="002A1231"/>
    <w:rsid w:val="002A138A"/>
    <w:rsid w:val="002A1A54"/>
    <w:rsid w:val="002A1BE6"/>
    <w:rsid w:val="002A262E"/>
    <w:rsid w:val="002A28ED"/>
    <w:rsid w:val="002A2AB6"/>
    <w:rsid w:val="002A2EB8"/>
    <w:rsid w:val="002A39B5"/>
    <w:rsid w:val="002A39E6"/>
    <w:rsid w:val="002A3E48"/>
    <w:rsid w:val="002A45F5"/>
    <w:rsid w:val="002A49E4"/>
    <w:rsid w:val="002A4CCE"/>
    <w:rsid w:val="002A5C29"/>
    <w:rsid w:val="002A5C46"/>
    <w:rsid w:val="002A6C49"/>
    <w:rsid w:val="002A7579"/>
    <w:rsid w:val="002A7D14"/>
    <w:rsid w:val="002B0F62"/>
    <w:rsid w:val="002B13F0"/>
    <w:rsid w:val="002B19BF"/>
    <w:rsid w:val="002B30DA"/>
    <w:rsid w:val="002B328E"/>
    <w:rsid w:val="002B336E"/>
    <w:rsid w:val="002B35DE"/>
    <w:rsid w:val="002B373B"/>
    <w:rsid w:val="002B37B5"/>
    <w:rsid w:val="002B3807"/>
    <w:rsid w:val="002B3867"/>
    <w:rsid w:val="002B3B2B"/>
    <w:rsid w:val="002B406F"/>
    <w:rsid w:val="002B4854"/>
    <w:rsid w:val="002B4963"/>
    <w:rsid w:val="002B4A99"/>
    <w:rsid w:val="002B50CC"/>
    <w:rsid w:val="002B5D71"/>
    <w:rsid w:val="002B5F65"/>
    <w:rsid w:val="002B6D9A"/>
    <w:rsid w:val="002C0F07"/>
    <w:rsid w:val="002C1184"/>
    <w:rsid w:val="002C1247"/>
    <w:rsid w:val="002C12F5"/>
    <w:rsid w:val="002C1359"/>
    <w:rsid w:val="002C1F4B"/>
    <w:rsid w:val="002C2616"/>
    <w:rsid w:val="002C278F"/>
    <w:rsid w:val="002C2AD9"/>
    <w:rsid w:val="002C3085"/>
    <w:rsid w:val="002C569B"/>
    <w:rsid w:val="002C59E7"/>
    <w:rsid w:val="002C5CB9"/>
    <w:rsid w:val="002C5E59"/>
    <w:rsid w:val="002C66DF"/>
    <w:rsid w:val="002C6E55"/>
    <w:rsid w:val="002C7194"/>
    <w:rsid w:val="002C78F1"/>
    <w:rsid w:val="002D0234"/>
    <w:rsid w:val="002D0A6E"/>
    <w:rsid w:val="002D0F38"/>
    <w:rsid w:val="002D167A"/>
    <w:rsid w:val="002D21BF"/>
    <w:rsid w:val="002D29C3"/>
    <w:rsid w:val="002D3AF5"/>
    <w:rsid w:val="002D4E3E"/>
    <w:rsid w:val="002D564B"/>
    <w:rsid w:val="002D5B9E"/>
    <w:rsid w:val="002D5EF6"/>
    <w:rsid w:val="002D6698"/>
    <w:rsid w:val="002D72AE"/>
    <w:rsid w:val="002D7C8B"/>
    <w:rsid w:val="002E0714"/>
    <w:rsid w:val="002E0E46"/>
    <w:rsid w:val="002E11DF"/>
    <w:rsid w:val="002E11FB"/>
    <w:rsid w:val="002E1358"/>
    <w:rsid w:val="002E1383"/>
    <w:rsid w:val="002E1476"/>
    <w:rsid w:val="002E20E9"/>
    <w:rsid w:val="002E283F"/>
    <w:rsid w:val="002E2D7F"/>
    <w:rsid w:val="002E2E0E"/>
    <w:rsid w:val="002E35BD"/>
    <w:rsid w:val="002E4203"/>
    <w:rsid w:val="002E4347"/>
    <w:rsid w:val="002E5E63"/>
    <w:rsid w:val="002E6106"/>
    <w:rsid w:val="002E7173"/>
    <w:rsid w:val="002E78B3"/>
    <w:rsid w:val="002E7ED2"/>
    <w:rsid w:val="002E7FE7"/>
    <w:rsid w:val="002F080B"/>
    <w:rsid w:val="002F11C0"/>
    <w:rsid w:val="002F2446"/>
    <w:rsid w:val="002F324F"/>
    <w:rsid w:val="002F3AAA"/>
    <w:rsid w:val="002F4BBF"/>
    <w:rsid w:val="002F5F7B"/>
    <w:rsid w:val="002F6650"/>
    <w:rsid w:val="002F68B1"/>
    <w:rsid w:val="002F6EAD"/>
    <w:rsid w:val="00300476"/>
    <w:rsid w:val="00302723"/>
    <w:rsid w:val="00302E38"/>
    <w:rsid w:val="00304344"/>
    <w:rsid w:val="00304888"/>
    <w:rsid w:val="00304D9F"/>
    <w:rsid w:val="0030693E"/>
    <w:rsid w:val="00307E69"/>
    <w:rsid w:val="00310EAE"/>
    <w:rsid w:val="003110BF"/>
    <w:rsid w:val="003111A0"/>
    <w:rsid w:val="003124F4"/>
    <w:rsid w:val="00312F99"/>
    <w:rsid w:val="0031318E"/>
    <w:rsid w:val="003131F4"/>
    <w:rsid w:val="003133BF"/>
    <w:rsid w:val="003133F5"/>
    <w:rsid w:val="003145DD"/>
    <w:rsid w:val="0031489A"/>
    <w:rsid w:val="00314EF7"/>
    <w:rsid w:val="00315185"/>
    <w:rsid w:val="003153C5"/>
    <w:rsid w:val="00315D5D"/>
    <w:rsid w:val="00316328"/>
    <w:rsid w:val="00316329"/>
    <w:rsid w:val="003163EA"/>
    <w:rsid w:val="003166C0"/>
    <w:rsid w:val="00316A00"/>
    <w:rsid w:val="00316BAB"/>
    <w:rsid w:val="00317050"/>
    <w:rsid w:val="003202F5"/>
    <w:rsid w:val="00320928"/>
    <w:rsid w:val="00322EF9"/>
    <w:rsid w:val="003232EC"/>
    <w:rsid w:val="00323441"/>
    <w:rsid w:val="00323929"/>
    <w:rsid w:val="00323997"/>
    <w:rsid w:val="003249F7"/>
    <w:rsid w:val="003250A2"/>
    <w:rsid w:val="00325D1B"/>
    <w:rsid w:val="00325E7E"/>
    <w:rsid w:val="00326852"/>
    <w:rsid w:val="0033093E"/>
    <w:rsid w:val="00330AFC"/>
    <w:rsid w:val="00330BDA"/>
    <w:rsid w:val="00330E15"/>
    <w:rsid w:val="0033135D"/>
    <w:rsid w:val="003319B4"/>
    <w:rsid w:val="00331C82"/>
    <w:rsid w:val="00331D54"/>
    <w:rsid w:val="0033224F"/>
    <w:rsid w:val="00332748"/>
    <w:rsid w:val="00332F6D"/>
    <w:rsid w:val="0033335A"/>
    <w:rsid w:val="0033340C"/>
    <w:rsid w:val="00333829"/>
    <w:rsid w:val="00333AC1"/>
    <w:rsid w:val="00333C7A"/>
    <w:rsid w:val="00333D9D"/>
    <w:rsid w:val="00333FEF"/>
    <w:rsid w:val="003349EF"/>
    <w:rsid w:val="00334C41"/>
    <w:rsid w:val="003361DD"/>
    <w:rsid w:val="0033636C"/>
    <w:rsid w:val="003365C4"/>
    <w:rsid w:val="0033720E"/>
    <w:rsid w:val="00337B2C"/>
    <w:rsid w:val="00340689"/>
    <w:rsid w:val="00340875"/>
    <w:rsid w:val="00341773"/>
    <w:rsid w:val="0034213F"/>
    <w:rsid w:val="003428BA"/>
    <w:rsid w:val="003436F8"/>
    <w:rsid w:val="003438E7"/>
    <w:rsid w:val="003439A3"/>
    <w:rsid w:val="00343A5E"/>
    <w:rsid w:val="00343E81"/>
    <w:rsid w:val="00345126"/>
    <w:rsid w:val="00345F37"/>
    <w:rsid w:val="00346AEF"/>
    <w:rsid w:val="00346B74"/>
    <w:rsid w:val="003472FF"/>
    <w:rsid w:val="0034738D"/>
    <w:rsid w:val="00347575"/>
    <w:rsid w:val="0034775F"/>
    <w:rsid w:val="00347E5D"/>
    <w:rsid w:val="003502C6"/>
    <w:rsid w:val="0035093A"/>
    <w:rsid w:val="00350DBA"/>
    <w:rsid w:val="00350DCE"/>
    <w:rsid w:val="00351CC0"/>
    <w:rsid w:val="003525B4"/>
    <w:rsid w:val="00352EB4"/>
    <w:rsid w:val="0035387F"/>
    <w:rsid w:val="00353B89"/>
    <w:rsid w:val="00353CE4"/>
    <w:rsid w:val="00354D96"/>
    <w:rsid w:val="003553EC"/>
    <w:rsid w:val="00355590"/>
    <w:rsid w:val="0035563B"/>
    <w:rsid w:val="00355810"/>
    <w:rsid w:val="00355CAB"/>
    <w:rsid w:val="0035714B"/>
    <w:rsid w:val="00360186"/>
    <w:rsid w:val="003607C6"/>
    <w:rsid w:val="003612A9"/>
    <w:rsid w:val="003622E1"/>
    <w:rsid w:val="003627C9"/>
    <w:rsid w:val="00362901"/>
    <w:rsid w:val="00362BEB"/>
    <w:rsid w:val="00363604"/>
    <w:rsid w:val="00363850"/>
    <w:rsid w:val="00364291"/>
    <w:rsid w:val="0036439B"/>
    <w:rsid w:val="0036455C"/>
    <w:rsid w:val="00365F6C"/>
    <w:rsid w:val="003661D3"/>
    <w:rsid w:val="003672F9"/>
    <w:rsid w:val="00367640"/>
    <w:rsid w:val="00367BE0"/>
    <w:rsid w:val="00367E82"/>
    <w:rsid w:val="00370214"/>
    <w:rsid w:val="0037082F"/>
    <w:rsid w:val="003718EA"/>
    <w:rsid w:val="00371BBA"/>
    <w:rsid w:val="00372059"/>
    <w:rsid w:val="0037294F"/>
    <w:rsid w:val="00372C9C"/>
    <w:rsid w:val="00373BAF"/>
    <w:rsid w:val="00373D9F"/>
    <w:rsid w:val="00373EA7"/>
    <w:rsid w:val="00374671"/>
    <w:rsid w:val="0037549E"/>
    <w:rsid w:val="0037557C"/>
    <w:rsid w:val="00376860"/>
    <w:rsid w:val="00376B6B"/>
    <w:rsid w:val="00377685"/>
    <w:rsid w:val="0038003E"/>
    <w:rsid w:val="003804B8"/>
    <w:rsid w:val="0038063F"/>
    <w:rsid w:val="00380D69"/>
    <w:rsid w:val="00380F57"/>
    <w:rsid w:val="0038103E"/>
    <w:rsid w:val="00382368"/>
    <w:rsid w:val="00382CE9"/>
    <w:rsid w:val="00382DD3"/>
    <w:rsid w:val="00382E20"/>
    <w:rsid w:val="00383374"/>
    <w:rsid w:val="00383481"/>
    <w:rsid w:val="00383B8A"/>
    <w:rsid w:val="00384A85"/>
    <w:rsid w:val="00384E48"/>
    <w:rsid w:val="00384E85"/>
    <w:rsid w:val="00385BEB"/>
    <w:rsid w:val="00385D4F"/>
    <w:rsid w:val="0038632F"/>
    <w:rsid w:val="003879FF"/>
    <w:rsid w:val="00387F01"/>
    <w:rsid w:val="0039060E"/>
    <w:rsid w:val="00390F59"/>
    <w:rsid w:val="00391579"/>
    <w:rsid w:val="003917C5"/>
    <w:rsid w:val="00391A02"/>
    <w:rsid w:val="00392CC1"/>
    <w:rsid w:val="00392CED"/>
    <w:rsid w:val="00393661"/>
    <w:rsid w:val="00394928"/>
    <w:rsid w:val="003957B5"/>
    <w:rsid w:val="00396188"/>
    <w:rsid w:val="003961F0"/>
    <w:rsid w:val="00396C45"/>
    <w:rsid w:val="003972B1"/>
    <w:rsid w:val="0039765B"/>
    <w:rsid w:val="00397871"/>
    <w:rsid w:val="00397A7F"/>
    <w:rsid w:val="003A03F3"/>
    <w:rsid w:val="003A0BAC"/>
    <w:rsid w:val="003A0DB6"/>
    <w:rsid w:val="003A24B1"/>
    <w:rsid w:val="003A2684"/>
    <w:rsid w:val="003A2C30"/>
    <w:rsid w:val="003A2C34"/>
    <w:rsid w:val="003A2DBF"/>
    <w:rsid w:val="003A3EA6"/>
    <w:rsid w:val="003A403E"/>
    <w:rsid w:val="003A4BB1"/>
    <w:rsid w:val="003A5164"/>
    <w:rsid w:val="003A55C1"/>
    <w:rsid w:val="003A63B4"/>
    <w:rsid w:val="003A73D9"/>
    <w:rsid w:val="003A7B14"/>
    <w:rsid w:val="003B0415"/>
    <w:rsid w:val="003B0749"/>
    <w:rsid w:val="003B0C28"/>
    <w:rsid w:val="003B1751"/>
    <w:rsid w:val="003B1798"/>
    <w:rsid w:val="003B1D34"/>
    <w:rsid w:val="003B1E1C"/>
    <w:rsid w:val="003B2F64"/>
    <w:rsid w:val="003B3D75"/>
    <w:rsid w:val="003B4274"/>
    <w:rsid w:val="003B4986"/>
    <w:rsid w:val="003B4CB2"/>
    <w:rsid w:val="003B4EF7"/>
    <w:rsid w:val="003B5955"/>
    <w:rsid w:val="003B5FC9"/>
    <w:rsid w:val="003B6398"/>
    <w:rsid w:val="003B690B"/>
    <w:rsid w:val="003B6A62"/>
    <w:rsid w:val="003B6B76"/>
    <w:rsid w:val="003B6D0E"/>
    <w:rsid w:val="003B7E00"/>
    <w:rsid w:val="003C0942"/>
    <w:rsid w:val="003C0D2D"/>
    <w:rsid w:val="003C1211"/>
    <w:rsid w:val="003C1961"/>
    <w:rsid w:val="003C36C6"/>
    <w:rsid w:val="003C38BA"/>
    <w:rsid w:val="003C4705"/>
    <w:rsid w:val="003C6878"/>
    <w:rsid w:val="003C6E3F"/>
    <w:rsid w:val="003C76F9"/>
    <w:rsid w:val="003C7D32"/>
    <w:rsid w:val="003D0129"/>
    <w:rsid w:val="003D2200"/>
    <w:rsid w:val="003D2EDB"/>
    <w:rsid w:val="003D328A"/>
    <w:rsid w:val="003D3323"/>
    <w:rsid w:val="003D3357"/>
    <w:rsid w:val="003D3CC7"/>
    <w:rsid w:val="003D3F1D"/>
    <w:rsid w:val="003D604B"/>
    <w:rsid w:val="003D6267"/>
    <w:rsid w:val="003D627B"/>
    <w:rsid w:val="003D6885"/>
    <w:rsid w:val="003D6936"/>
    <w:rsid w:val="003D6AAB"/>
    <w:rsid w:val="003D6B01"/>
    <w:rsid w:val="003D7136"/>
    <w:rsid w:val="003D7278"/>
    <w:rsid w:val="003D744D"/>
    <w:rsid w:val="003D7517"/>
    <w:rsid w:val="003D765B"/>
    <w:rsid w:val="003D777F"/>
    <w:rsid w:val="003E00A8"/>
    <w:rsid w:val="003E11AA"/>
    <w:rsid w:val="003E1CC4"/>
    <w:rsid w:val="003E23ED"/>
    <w:rsid w:val="003E2874"/>
    <w:rsid w:val="003E295A"/>
    <w:rsid w:val="003E2D49"/>
    <w:rsid w:val="003E2EBD"/>
    <w:rsid w:val="003E304B"/>
    <w:rsid w:val="003E3AB8"/>
    <w:rsid w:val="003E3D52"/>
    <w:rsid w:val="003E49AC"/>
    <w:rsid w:val="003E570B"/>
    <w:rsid w:val="003E5EFD"/>
    <w:rsid w:val="003E6887"/>
    <w:rsid w:val="003E7277"/>
    <w:rsid w:val="003F0152"/>
    <w:rsid w:val="003F041D"/>
    <w:rsid w:val="003F06B2"/>
    <w:rsid w:val="003F160D"/>
    <w:rsid w:val="003F171C"/>
    <w:rsid w:val="003F1D2A"/>
    <w:rsid w:val="003F20C8"/>
    <w:rsid w:val="003F2626"/>
    <w:rsid w:val="003F2D6F"/>
    <w:rsid w:val="003F3256"/>
    <w:rsid w:val="003F3DA9"/>
    <w:rsid w:val="003F4E86"/>
    <w:rsid w:val="003F50F8"/>
    <w:rsid w:val="003F5EF9"/>
    <w:rsid w:val="003F604F"/>
    <w:rsid w:val="003F62E6"/>
    <w:rsid w:val="003F6485"/>
    <w:rsid w:val="003F64CE"/>
    <w:rsid w:val="003F651D"/>
    <w:rsid w:val="003F6C01"/>
    <w:rsid w:val="003F7EA4"/>
    <w:rsid w:val="003F7F2F"/>
    <w:rsid w:val="004000D2"/>
    <w:rsid w:val="0040056A"/>
    <w:rsid w:val="00401046"/>
    <w:rsid w:val="00401196"/>
    <w:rsid w:val="00401D46"/>
    <w:rsid w:val="0040200B"/>
    <w:rsid w:val="0040341D"/>
    <w:rsid w:val="0040358E"/>
    <w:rsid w:val="0040373B"/>
    <w:rsid w:val="00403A34"/>
    <w:rsid w:val="0040426D"/>
    <w:rsid w:val="0040431B"/>
    <w:rsid w:val="0040500B"/>
    <w:rsid w:val="00405073"/>
    <w:rsid w:val="004051A1"/>
    <w:rsid w:val="00405516"/>
    <w:rsid w:val="0040580B"/>
    <w:rsid w:val="00405EBE"/>
    <w:rsid w:val="0040634F"/>
    <w:rsid w:val="00406365"/>
    <w:rsid w:val="00406DC3"/>
    <w:rsid w:val="00406EFD"/>
    <w:rsid w:val="00407B39"/>
    <w:rsid w:val="00407F5A"/>
    <w:rsid w:val="00407F75"/>
    <w:rsid w:val="00411D26"/>
    <w:rsid w:val="0041201B"/>
    <w:rsid w:val="00412199"/>
    <w:rsid w:val="004121DB"/>
    <w:rsid w:val="0041226E"/>
    <w:rsid w:val="00412A24"/>
    <w:rsid w:val="00414583"/>
    <w:rsid w:val="00415FBA"/>
    <w:rsid w:val="00416D51"/>
    <w:rsid w:val="00417299"/>
    <w:rsid w:val="00417B08"/>
    <w:rsid w:val="00417E6E"/>
    <w:rsid w:val="00420684"/>
    <w:rsid w:val="00420AA2"/>
    <w:rsid w:val="004214EF"/>
    <w:rsid w:val="00421962"/>
    <w:rsid w:val="0042227A"/>
    <w:rsid w:val="00422363"/>
    <w:rsid w:val="004223AE"/>
    <w:rsid w:val="00424673"/>
    <w:rsid w:val="0042543C"/>
    <w:rsid w:val="00425836"/>
    <w:rsid w:val="004262CF"/>
    <w:rsid w:val="004263AF"/>
    <w:rsid w:val="00426D7D"/>
    <w:rsid w:val="00426E67"/>
    <w:rsid w:val="00427DFE"/>
    <w:rsid w:val="004304F3"/>
    <w:rsid w:val="00430F12"/>
    <w:rsid w:val="00431D09"/>
    <w:rsid w:val="0043222B"/>
    <w:rsid w:val="004327F0"/>
    <w:rsid w:val="00433056"/>
    <w:rsid w:val="00433292"/>
    <w:rsid w:val="004355CB"/>
    <w:rsid w:val="0043597C"/>
    <w:rsid w:val="00437B3D"/>
    <w:rsid w:val="00437BBB"/>
    <w:rsid w:val="00437CC6"/>
    <w:rsid w:val="004402C5"/>
    <w:rsid w:val="004403FF"/>
    <w:rsid w:val="00440C4B"/>
    <w:rsid w:val="0044135D"/>
    <w:rsid w:val="00442A72"/>
    <w:rsid w:val="00443668"/>
    <w:rsid w:val="0044376A"/>
    <w:rsid w:val="004439A3"/>
    <w:rsid w:val="00443CFC"/>
    <w:rsid w:val="00443EF4"/>
    <w:rsid w:val="00444345"/>
    <w:rsid w:val="00444FB7"/>
    <w:rsid w:val="004455F3"/>
    <w:rsid w:val="004458ED"/>
    <w:rsid w:val="00445C16"/>
    <w:rsid w:val="0044676D"/>
    <w:rsid w:val="00446D9E"/>
    <w:rsid w:val="00446EA0"/>
    <w:rsid w:val="00446F33"/>
    <w:rsid w:val="00447F3D"/>
    <w:rsid w:val="00450327"/>
    <w:rsid w:val="004508BA"/>
    <w:rsid w:val="00450D5A"/>
    <w:rsid w:val="0045118A"/>
    <w:rsid w:val="00453365"/>
    <w:rsid w:val="004535DC"/>
    <w:rsid w:val="004550A5"/>
    <w:rsid w:val="00456498"/>
    <w:rsid w:val="00456977"/>
    <w:rsid w:val="0045728E"/>
    <w:rsid w:val="00457565"/>
    <w:rsid w:val="00457734"/>
    <w:rsid w:val="00457925"/>
    <w:rsid w:val="00457C73"/>
    <w:rsid w:val="004601C7"/>
    <w:rsid w:val="004604C3"/>
    <w:rsid w:val="00460B54"/>
    <w:rsid w:val="00460B97"/>
    <w:rsid w:val="004618A2"/>
    <w:rsid w:val="0046223D"/>
    <w:rsid w:val="00462F2B"/>
    <w:rsid w:val="0046302B"/>
    <w:rsid w:val="00463065"/>
    <w:rsid w:val="0046363E"/>
    <w:rsid w:val="0046369A"/>
    <w:rsid w:val="004646BB"/>
    <w:rsid w:val="00464890"/>
    <w:rsid w:val="004658EB"/>
    <w:rsid w:val="004662FD"/>
    <w:rsid w:val="00466640"/>
    <w:rsid w:val="00466825"/>
    <w:rsid w:val="00466B4C"/>
    <w:rsid w:val="00466B81"/>
    <w:rsid w:val="00466FFB"/>
    <w:rsid w:val="00467B84"/>
    <w:rsid w:val="00470B44"/>
    <w:rsid w:val="00470D7C"/>
    <w:rsid w:val="00470D9B"/>
    <w:rsid w:val="00470DC1"/>
    <w:rsid w:val="00471392"/>
    <w:rsid w:val="004714DF"/>
    <w:rsid w:val="00473325"/>
    <w:rsid w:val="00473A39"/>
    <w:rsid w:val="004745AA"/>
    <w:rsid w:val="0047520F"/>
    <w:rsid w:val="00475975"/>
    <w:rsid w:val="00476BB8"/>
    <w:rsid w:val="00476C31"/>
    <w:rsid w:val="0047712F"/>
    <w:rsid w:val="00477689"/>
    <w:rsid w:val="00477A30"/>
    <w:rsid w:val="00480658"/>
    <w:rsid w:val="00480C14"/>
    <w:rsid w:val="004812AE"/>
    <w:rsid w:val="00481C63"/>
    <w:rsid w:val="00481D0D"/>
    <w:rsid w:val="00483727"/>
    <w:rsid w:val="00484210"/>
    <w:rsid w:val="00484A56"/>
    <w:rsid w:val="00485782"/>
    <w:rsid w:val="00485CB8"/>
    <w:rsid w:val="0048653D"/>
    <w:rsid w:val="004866D3"/>
    <w:rsid w:val="00486716"/>
    <w:rsid w:val="004869BC"/>
    <w:rsid w:val="00487199"/>
    <w:rsid w:val="00487561"/>
    <w:rsid w:val="004875CC"/>
    <w:rsid w:val="00487949"/>
    <w:rsid w:val="00487D7C"/>
    <w:rsid w:val="00490076"/>
    <w:rsid w:val="004908C0"/>
    <w:rsid w:val="0049129E"/>
    <w:rsid w:val="00491DD2"/>
    <w:rsid w:val="00492709"/>
    <w:rsid w:val="00493479"/>
    <w:rsid w:val="004938FB"/>
    <w:rsid w:val="00493DC0"/>
    <w:rsid w:val="00493E05"/>
    <w:rsid w:val="004948BD"/>
    <w:rsid w:val="00494980"/>
    <w:rsid w:val="004949FE"/>
    <w:rsid w:val="00494D39"/>
    <w:rsid w:val="004950BB"/>
    <w:rsid w:val="004960C2"/>
    <w:rsid w:val="00496118"/>
    <w:rsid w:val="004967EF"/>
    <w:rsid w:val="00496E34"/>
    <w:rsid w:val="004A0977"/>
    <w:rsid w:val="004A0ABF"/>
    <w:rsid w:val="004A1CD3"/>
    <w:rsid w:val="004A1F6A"/>
    <w:rsid w:val="004A327F"/>
    <w:rsid w:val="004A3B20"/>
    <w:rsid w:val="004A42EA"/>
    <w:rsid w:val="004A4614"/>
    <w:rsid w:val="004A46F3"/>
    <w:rsid w:val="004A4878"/>
    <w:rsid w:val="004A5CE3"/>
    <w:rsid w:val="004A60EB"/>
    <w:rsid w:val="004A67FA"/>
    <w:rsid w:val="004A6BD4"/>
    <w:rsid w:val="004A73E8"/>
    <w:rsid w:val="004B00CE"/>
    <w:rsid w:val="004B0344"/>
    <w:rsid w:val="004B0477"/>
    <w:rsid w:val="004B059E"/>
    <w:rsid w:val="004B0612"/>
    <w:rsid w:val="004B06EE"/>
    <w:rsid w:val="004B1627"/>
    <w:rsid w:val="004B19F0"/>
    <w:rsid w:val="004B1FCB"/>
    <w:rsid w:val="004B21BA"/>
    <w:rsid w:val="004B3255"/>
    <w:rsid w:val="004B3427"/>
    <w:rsid w:val="004B43C5"/>
    <w:rsid w:val="004B4BC0"/>
    <w:rsid w:val="004B4E77"/>
    <w:rsid w:val="004B5284"/>
    <w:rsid w:val="004B5F8B"/>
    <w:rsid w:val="004B6B78"/>
    <w:rsid w:val="004B727F"/>
    <w:rsid w:val="004B7324"/>
    <w:rsid w:val="004B7591"/>
    <w:rsid w:val="004B7972"/>
    <w:rsid w:val="004B79F9"/>
    <w:rsid w:val="004B7DF6"/>
    <w:rsid w:val="004C1403"/>
    <w:rsid w:val="004C192A"/>
    <w:rsid w:val="004C1982"/>
    <w:rsid w:val="004C1A19"/>
    <w:rsid w:val="004C2757"/>
    <w:rsid w:val="004C28E3"/>
    <w:rsid w:val="004C2AE7"/>
    <w:rsid w:val="004C323C"/>
    <w:rsid w:val="004C34D3"/>
    <w:rsid w:val="004C3A51"/>
    <w:rsid w:val="004C5541"/>
    <w:rsid w:val="004C68E2"/>
    <w:rsid w:val="004C6A0B"/>
    <w:rsid w:val="004C7053"/>
    <w:rsid w:val="004C71F2"/>
    <w:rsid w:val="004C790C"/>
    <w:rsid w:val="004D000A"/>
    <w:rsid w:val="004D168E"/>
    <w:rsid w:val="004D16C1"/>
    <w:rsid w:val="004D21F3"/>
    <w:rsid w:val="004D2F7C"/>
    <w:rsid w:val="004D3910"/>
    <w:rsid w:val="004D3A6B"/>
    <w:rsid w:val="004D3BEA"/>
    <w:rsid w:val="004D3BEE"/>
    <w:rsid w:val="004D3C41"/>
    <w:rsid w:val="004D4BF1"/>
    <w:rsid w:val="004D55F2"/>
    <w:rsid w:val="004D5E8E"/>
    <w:rsid w:val="004D6074"/>
    <w:rsid w:val="004D65F3"/>
    <w:rsid w:val="004D6842"/>
    <w:rsid w:val="004D6E20"/>
    <w:rsid w:val="004D7215"/>
    <w:rsid w:val="004D7625"/>
    <w:rsid w:val="004E01B0"/>
    <w:rsid w:val="004E0395"/>
    <w:rsid w:val="004E0813"/>
    <w:rsid w:val="004E0821"/>
    <w:rsid w:val="004E0897"/>
    <w:rsid w:val="004E0A47"/>
    <w:rsid w:val="004E104E"/>
    <w:rsid w:val="004E1304"/>
    <w:rsid w:val="004E201D"/>
    <w:rsid w:val="004E2246"/>
    <w:rsid w:val="004E2318"/>
    <w:rsid w:val="004E2F06"/>
    <w:rsid w:val="004E3815"/>
    <w:rsid w:val="004E3F63"/>
    <w:rsid w:val="004E515F"/>
    <w:rsid w:val="004E5296"/>
    <w:rsid w:val="004E591F"/>
    <w:rsid w:val="004E6435"/>
    <w:rsid w:val="004E662C"/>
    <w:rsid w:val="004E679D"/>
    <w:rsid w:val="004E7431"/>
    <w:rsid w:val="004E7F76"/>
    <w:rsid w:val="004F0310"/>
    <w:rsid w:val="004F0BCF"/>
    <w:rsid w:val="004F0E7C"/>
    <w:rsid w:val="004F0FB5"/>
    <w:rsid w:val="004F13F6"/>
    <w:rsid w:val="004F3410"/>
    <w:rsid w:val="004F4088"/>
    <w:rsid w:val="004F43B6"/>
    <w:rsid w:val="004F43BE"/>
    <w:rsid w:val="004F4707"/>
    <w:rsid w:val="004F546E"/>
    <w:rsid w:val="004F5C96"/>
    <w:rsid w:val="004F5D40"/>
    <w:rsid w:val="004F5E05"/>
    <w:rsid w:val="004F6305"/>
    <w:rsid w:val="004F63A3"/>
    <w:rsid w:val="004F70E3"/>
    <w:rsid w:val="004F7C32"/>
    <w:rsid w:val="0050084D"/>
    <w:rsid w:val="00501EAF"/>
    <w:rsid w:val="00502849"/>
    <w:rsid w:val="00502AD1"/>
    <w:rsid w:val="00502D8E"/>
    <w:rsid w:val="0050307D"/>
    <w:rsid w:val="0050390F"/>
    <w:rsid w:val="00503B9C"/>
    <w:rsid w:val="00503E22"/>
    <w:rsid w:val="00503F82"/>
    <w:rsid w:val="0050654B"/>
    <w:rsid w:val="0050658C"/>
    <w:rsid w:val="005066F1"/>
    <w:rsid w:val="005069DD"/>
    <w:rsid w:val="0050743C"/>
    <w:rsid w:val="005076E2"/>
    <w:rsid w:val="00507A47"/>
    <w:rsid w:val="00507A4E"/>
    <w:rsid w:val="00510A9C"/>
    <w:rsid w:val="00511E85"/>
    <w:rsid w:val="0051255C"/>
    <w:rsid w:val="0051259F"/>
    <w:rsid w:val="00512943"/>
    <w:rsid w:val="005131CF"/>
    <w:rsid w:val="00514A67"/>
    <w:rsid w:val="00514B8A"/>
    <w:rsid w:val="00514E80"/>
    <w:rsid w:val="00515141"/>
    <w:rsid w:val="00515681"/>
    <w:rsid w:val="005158B6"/>
    <w:rsid w:val="00520242"/>
    <w:rsid w:val="00520527"/>
    <w:rsid w:val="00521A10"/>
    <w:rsid w:val="00521B0B"/>
    <w:rsid w:val="00521D91"/>
    <w:rsid w:val="00522F64"/>
    <w:rsid w:val="00523068"/>
    <w:rsid w:val="00523B17"/>
    <w:rsid w:val="00523BA2"/>
    <w:rsid w:val="00524049"/>
    <w:rsid w:val="005240B1"/>
    <w:rsid w:val="0052431E"/>
    <w:rsid w:val="00524326"/>
    <w:rsid w:val="0052458E"/>
    <w:rsid w:val="00524ADA"/>
    <w:rsid w:val="00524CFB"/>
    <w:rsid w:val="00524EE2"/>
    <w:rsid w:val="0052512F"/>
    <w:rsid w:val="005252AF"/>
    <w:rsid w:val="00525AB1"/>
    <w:rsid w:val="00526F96"/>
    <w:rsid w:val="00527D21"/>
    <w:rsid w:val="00527DA7"/>
    <w:rsid w:val="005302E0"/>
    <w:rsid w:val="00530476"/>
    <w:rsid w:val="005304DD"/>
    <w:rsid w:val="005305CF"/>
    <w:rsid w:val="005305FB"/>
    <w:rsid w:val="00531592"/>
    <w:rsid w:val="00531AD6"/>
    <w:rsid w:val="00531D60"/>
    <w:rsid w:val="0053240E"/>
    <w:rsid w:val="00533047"/>
    <w:rsid w:val="00533429"/>
    <w:rsid w:val="00533554"/>
    <w:rsid w:val="0053380D"/>
    <w:rsid w:val="00533ADA"/>
    <w:rsid w:val="00534328"/>
    <w:rsid w:val="00534897"/>
    <w:rsid w:val="0053497E"/>
    <w:rsid w:val="005349BC"/>
    <w:rsid w:val="00534D2A"/>
    <w:rsid w:val="0053517B"/>
    <w:rsid w:val="00535423"/>
    <w:rsid w:val="00535B03"/>
    <w:rsid w:val="00535BF0"/>
    <w:rsid w:val="0053625E"/>
    <w:rsid w:val="00536E35"/>
    <w:rsid w:val="00536FE4"/>
    <w:rsid w:val="005370C2"/>
    <w:rsid w:val="005372BC"/>
    <w:rsid w:val="005374B6"/>
    <w:rsid w:val="005375CF"/>
    <w:rsid w:val="00537CE2"/>
    <w:rsid w:val="00541C14"/>
    <w:rsid w:val="00542AD8"/>
    <w:rsid w:val="00542CD2"/>
    <w:rsid w:val="0054347A"/>
    <w:rsid w:val="00543770"/>
    <w:rsid w:val="00544086"/>
    <w:rsid w:val="005442B2"/>
    <w:rsid w:val="00544C9B"/>
    <w:rsid w:val="0054520D"/>
    <w:rsid w:val="0054632B"/>
    <w:rsid w:val="00546821"/>
    <w:rsid w:val="00546E21"/>
    <w:rsid w:val="00547111"/>
    <w:rsid w:val="00547151"/>
    <w:rsid w:val="00547227"/>
    <w:rsid w:val="0054791B"/>
    <w:rsid w:val="00550B7B"/>
    <w:rsid w:val="0055102C"/>
    <w:rsid w:val="00551441"/>
    <w:rsid w:val="0055146B"/>
    <w:rsid w:val="00552273"/>
    <w:rsid w:val="00552920"/>
    <w:rsid w:val="00552E10"/>
    <w:rsid w:val="00553B3B"/>
    <w:rsid w:val="0055412B"/>
    <w:rsid w:val="005552C0"/>
    <w:rsid w:val="0055556D"/>
    <w:rsid w:val="0055567C"/>
    <w:rsid w:val="00555FCE"/>
    <w:rsid w:val="0055626C"/>
    <w:rsid w:val="00556412"/>
    <w:rsid w:val="005564A9"/>
    <w:rsid w:val="00556A05"/>
    <w:rsid w:val="00557169"/>
    <w:rsid w:val="005577DB"/>
    <w:rsid w:val="00557D61"/>
    <w:rsid w:val="00557ED5"/>
    <w:rsid w:val="00560682"/>
    <w:rsid w:val="005608AC"/>
    <w:rsid w:val="00560E5B"/>
    <w:rsid w:val="00560EDD"/>
    <w:rsid w:val="00562063"/>
    <w:rsid w:val="00562939"/>
    <w:rsid w:val="00562E95"/>
    <w:rsid w:val="00563F99"/>
    <w:rsid w:val="005642CA"/>
    <w:rsid w:val="005650F7"/>
    <w:rsid w:val="005657C3"/>
    <w:rsid w:val="00565C4A"/>
    <w:rsid w:val="00565E5A"/>
    <w:rsid w:val="00566011"/>
    <w:rsid w:val="00567724"/>
    <w:rsid w:val="00567B2C"/>
    <w:rsid w:val="00571DE4"/>
    <w:rsid w:val="00572DF7"/>
    <w:rsid w:val="00572E4C"/>
    <w:rsid w:val="00573110"/>
    <w:rsid w:val="00573536"/>
    <w:rsid w:val="005737D8"/>
    <w:rsid w:val="00573C75"/>
    <w:rsid w:val="00573D0E"/>
    <w:rsid w:val="0057415F"/>
    <w:rsid w:val="00574CC4"/>
    <w:rsid w:val="00575C19"/>
    <w:rsid w:val="00575E8A"/>
    <w:rsid w:val="005763C3"/>
    <w:rsid w:val="00576A9A"/>
    <w:rsid w:val="00576B75"/>
    <w:rsid w:val="00576EE4"/>
    <w:rsid w:val="0057754B"/>
    <w:rsid w:val="00577A43"/>
    <w:rsid w:val="00577BB4"/>
    <w:rsid w:val="00577C1A"/>
    <w:rsid w:val="00580D3C"/>
    <w:rsid w:val="00580DF6"/>
    <w:rsid w:val="005822DD"/>
    <w:rsid w:val="005823AB"/>
    <w:rsid w:val="005832D1"/>
    <w:rsid w:val="00583A57"/>
    <w:rsid w:val="00583AA1"/>
    <w:rsid w:val="00584274"/>
    <w:rsid w:val="005846FA"/>
    <w:rsid w:val="00584E36"/>
    <w:rsid w:val="00584F3A"/>
    <w:rsid w:val="00585111"/>
    <w:rsid w:val="005851C3"/>
    <w:rsid w:val="005852AD"/>
    <w:rsid w:val="005853CE"/>
    <w:rsid w:val="005855AA"/>
    <w:rsid w:val="00585713"/>
    <w:rsid w:val="005857A6"/>
    <w:rsid w:val="00585E34"/>
    <w:rsid w:val="00586239"/>
    <w:rsid w:val="00586524"/>
    <w:rsid w:val="00586641"/>
    <w:rsid w:val="00586885"/>
    <w:rsid w:val="00586E92"/>
    <w:rsid w:val="00587362"/>
    <w:rsid w:val="005877D8"/>
    <w:rsid w:val="005908D0"/>
    <w:rsid w:val="00590FB9"/>
    <w:rsid w:val="005910C5"/>
    <w:rsid w:val="0059242B"/>
    <w:rsid w:val="00592475"/>
    <w:rsid w:val="00592507"/>
    <w:rsid w:val="00592FC6"/>
    <w:rsid w:val="0059307A"/>
    <w:rsid w:val="0059472D"/>
    <w:rsid w:val="005949D9"/>
    <w:rsid w:val="005955F7"/>
    <w:rsid w:val="0059591A"/>
    <w:rsid w:val="00595AD3"/>
    <w:rsid w:val="00595E5D"/>
    <w:rsid w:val="00597611"/>
    <w:rsid w:val="0059775D"/>
    <w:rsid w:val="005979D5"/>
    <w:rsid w:val="00597CBF"/>
    <w:rsid w:val="005A04D1"/>
    <w:rsid w:val="005A058D"/>
    <w:rsid w:val="005A1485"/>
    <w:rsid w:val="005A152B"/>
    <w:rsid w:val="005A1A26"/>
    <w:rsid w:val="005A20BE"/>
    <w:rsid w:val="005A3707"/>
    <w:rsid w:val="005A37B2"/>
    <w:rsid w:val="005A3D7E"/>
    <w:rsid w:val="005A3EAB"/>
    <w:rsid w:val="005A4DB7"/>
    <w:rsid w:val="005A4F0D"/>
    <w:rsid w:val="005A4F96"/>
    <w:rsid w:val="005A527F"/>
    <w:rsid w:val="005A58D0"/>
    <w:rsid w:val="005A655F"/>
    <w:rsid w:val="005A66B9"/>
    <w:rsid w:val="005A69B5"/>
    <w:rsid w:val="005A6E23"/>
    <w:rsid w:val="005B0EF2"/>
    <w:rsid w:val="005B11B4"/>
    <w:rsid w:val="005B1727"/>
    <w:rsid w:val="005B179F"/>
    <w:rsid w:val="005B1B6E"/>
    <w:rsid w:val="005B38A5"/>
    <w:rsid w:val="005B38FA"/>
    <w:rsid w:val="005B3D45"/>
    <w:rsid w:val="005B40F4"/>
    <w:rsid w:val="005B59B2"/>
    <w:rsid w:val="005B64B2"/>
    <w:rsid w:val="005B6AEB"/>
    <w:rsid w:val="005B7399"/>
    <w:rsid w:val="005B7B58"/>
    <w:rsid w:val="005C01A2"/>
    <w:rsid w:val="005C01AB"/>
    <w:rsid w:val="005C0C80"/>
    <w:rsid w:val="005C0DD4"/>
    <w:rsid w:val="005C0DFA"/>
    <w:rsid w:val="005C120A"/>
    <w:rsid w:val="005C1869"/>
    <w:rsid w:val="005C1FBE"/>
    <w:rsid w:val="005C1FEA"/>
    <w:rsid w:val="005C25F6"/>
    <w:rsid w:val="005C2876"/>
    <w:rsid w:val="005C2A92"/>
    <w:rsid w:val="005C302E"/>
    <w:rsid w:val="005C379D"/>
    <w:rsid w:val="005C4492"/>
    <w:rsid w:val="005C4CA7"/>
    <w:rsid w:val="005C523B"/>
    <w:rsid w:val="005C5AAF"/>
    <w:rsid w:val="005C65FA"/>
    <w:rsid w:val="005C6A59"/>
    <w:rsid w:val="005C6AFD"/>
    <w:rsid w:val="005C73C6"/>
    <w:rsid w:val="005C7772"/>
    <w:rsid w:val="005C7A69"/>
    <w:rsid w:val="005D0057"/>
    <w:rsid w:val="005D05A9"/>
    <w:rsid w:val="005D0BA3"/>
    <w:rsid w:val="005D1B58"/>
    <w:rsid w:val="005D2514"/>
    <w:rsid w:val="005D2A79"/>
    <w:rsid w:val="005D334D"/>
    <w:rsid w:val="005D3643"/>
    <w:rsid w:val="005D37DA"/>
    <w:rsid w:val="005D3EFA"/>
    <w:rsid w:val="005D5034"/>
    <w:rsid w:val="005D504A"/>
    <w:rsid w:val="005D56FD"/>
    <w:rsid w:val="005D622E"/>
    <w:rsid w:val="005D6BFE"/>
    <w:rsid w:val="005D6F6E"/>
    <w:rsid w:val="005E00F0"/>
    <w:rsid w:val="005E07AB"/>
    <w:rsid w:val="005E0CE0"/>
    <w:rsid w:val="005E1390"/>
    <w:rsid w:val="005E1742"/>
    <w:rsid w:val="005E2199"/>
    <w:rsid w:val="005E2B8A"/>
    <w:rsid w:val="005E2F5C"/>
    <w:rsid w:val="005E3A26"/>
    <w:rsid w:val="005E3BCF"/>
    <w:rsid w:val="005E3EDC"/>
    <w:rsid w:val="005E5323"/>
    <w:rsid w:val="005E5346"/>
    <w:rsid w:val="005E55D1"/>
    <w:rsid w:val="005E56D5"/>
    <w:rsid w:val="005E5CD2"/>
    <w:rsid w:val="005E63FB"/>
    <w:rsid w:val="005E69BF"/>
    <w:rsid w:val="005E6C02"/>
    <w:rsid w:val="005E7186"/>
    <w:rsid w:val="005E7393"/>
    <w:rsid w:val="005F01BC"/>
    <w:rsid w:val="005F0C6A"/>
    <w:rsid w:val="005F0C91"/>
    <w:rsid w:val="005F1867"/>
    <w:rsid w:val="005F1D40"/>
    <w:rsid w:val="005F2062"/>
    <w:rsid w:val="005F22AD"/>
    <w:rsid w:val="005F242A"/>
    <w:rsid w:val="005F2430"/>
    <w:rsid w:val="005F2A91"/>
    <w:rsid w:val="005F3195"/>
    <w:rsid w:val="005F3609"/>
    <w:rsid w:val="005F3AF8"/>
    <w:rsid w:val="005F458E"/>
    <w:rsid w:val="005F4E4A"/>
    <w:rsid w:val="005F5059"/>
    <w:rsid w:val="005F5960"/>
    <w:rsid w:val="005F5BA9"/>
    <w:rsid w:val="005F5C0C"/>
    <w:rsid w:val="005F6C90"/>
    <w:rsid w:val="005F72B8"/>
    <w:rsid w:val="006010B9"/>
    <w:rsid w:val="00601BC8"/>
    <w:rsid w:val="00601FA1"/>
    <w:rsid w:val="00602010"/>
    <w:rsid w:val="006020A8"/>
    <w:rsid w:val="006027A3"/>
    <w:rsid w:val="006049FA"/>
    <w:rsid w:val="00605796"/>
    <w:rsid w:val="0060594D"/>
    <w:rsid w:val="00605D2C"/>
    <w:rsid w:val="00605DB1"/>
    <w:rsid w:val="00606574"/>
    <w:rsid w:val="00606724"/>
    <w:rsid w:val="00606E1F"/>
    <w:rsid w:val="006072C4"/>
    <w:rsid w:val="00607AB4"/>
    <w:rsid w:val="006102A4"/>
    <w:rsid w:val="00610958"/>
    <w:rsid w:val="00610FE9"/>
    <w:rsid w:val="00611238"/>
    <w:rsid w:val="0061203E"/>
    <w:rsid w:val="0061222A"/>
    <w:rsid w:val="006123BF"/>
    <w:rsid w:val="0061248C"/>
    <w:rsid w:val="00612A58"/>
    <w:rsid w:val="00612F74"/>
    <w:rsid w:val="00613060"/>
    <w:rsid w:val="00614493"/>
    <w:rsid w:val="00614EBD"/>
    <w:rsid w:val="006151E2"/>
    <w:rsid w:val="00615DA7"/>
    <w:rsid w:val="006160F6"/>
    <w:rsid w:val="00616643"/>
    <w:rsid w:val="00617154"/>
    <w:rsid w:val="006172ED"/>
    <w:rsid w:val="0062052B"/>
    <w:rsid w:val="00620A32"/>
    <w:rsid w:val="00620CFA"/>
    <w:rsid w:val="00620D22"/>
    <w:rsid w:val="006213CB"/>
    <w:rsid w:val="006216F1"/>
    <w:rsid w:val="00621FCF"/>
    <w:rsid w:val="00622078"/>
    <w:rsid w:val="00622E38"/>
    <w:rsid w:val="00622E56"/>
    <w:rsid w:val="00622FC0"/>
    <w:rsid w:val="00623143"/>
    <w:rsid w:val="00624F09"/>
    <w:rsid w:val="006262B7"/>
    <w:rsid w:val="006262D2"/>
    <w:rsid w:val="006263FF"/>
    <w:rsid w:val="00627656"/>
    <w:rsid w:val="00627837"/>
    <w:rsid w:val="00630096"/>
    <w:rsid w:val="006305C9"/>
    <w:rsid w:val="006308E0"/>
    <w:rsid w:val="00630E70"/>
    <w:rsid w:val="00631108"/>
    <w:rsid w:val="00632566"/>
    <w:rsid w:val="00633B80"/>
    <w:rsid w:val="0063431D"/>
    <w:rsid w:val="0063527D"/>
    <w:rsid w:val="00635592"/>
    <w:rsid w:val="0063580C"/>
    <w:rsid w:val="00636EA4"/>
    <w:rsid w:val="00637480"/>
    <w:rsid w:val="00637795"/>
    <w:rsid w:val="00640B62"/>
    <w:rsid w:val="00640B7E"/>
    <w:rsid w:val="0064165F"/>
    <w:rsid w:val="00642A1A"/>
    <w:rsid w:val="006436D4"/>
    <w:rsid w:val="00643D2C"/>
    <w:rsid w:val="00644157"/>
    <w:rsid w:val="0064440A"/>
    <w:rsid w:val="00645278"/>
    <w:rsid w:val="00645CC0"/>
    <w:rsid w:val="00645E78"/>
    <w:rsid w:val="00646447"/>
    <w:rsid w:val="00646C37"/>
    <w:rsid w:val="006475A3"/>
    <w:rsid w:val="006476CA"/>
    <w:rsid w:val="00647DA2"/>
    <w:rsid w:val="00647E26"/>
    <w:rsid w:val="00650276"/>
    <w:rsid w:val="006502D6"/>
    <w:rsid w:val="00650B5E"/>
    <w:rsid w:val="00650E5A"/>
    <w:rsid w:val="006514F3"/>
    <w:rsid w:val="0065192D"/>
    <w:rsid w:val="00651B13"/>
    <w:rsid w:val="00651D17"/>
    <w:rsid w:val="00651F4C"/>
    <w:rsid w:val="006526C4"/>
    <w:rsid w:val="006526DE"/>
    <w:rsid w:val="0065286F"/>
    <w:rsid w:val="006538EE"/>
    <w:rsid w:val="00653A12"/>
    <w:rsid w:val="00654C68"/>
    <w:rsid w:val="00654C73"/>
    <w:rsid w:val="0065597C"/>
    <w:rsid w:val="00656210"/>
    <w:rsid w:val="0065691E"/>
    <w:rsid w:val="0065725C"/>
    <w:rsid w:val="00657285"/>
    <w:rsid w:val="006575F5"/>
    <w:rsid w:val="006600AD"/>
    <w:rsid w:val="00660465"/>
    <w:rsid w:val="0066092D"/>
    <w:rsid w:val="00661A55"/>
    <w:rsid w:val="00661DD8"/>
    <w:rsid w:val="00661F8E"/>
    <w:rsid w:val="00662A40"/>
    <w:rsid w:val="006635D3"/>
    <w:rsid w:val="006638C5"/>
    <w:rsid w:val="0066439D"/>
    <w:rsid w:val="00664576"/>
    <w:rsid w:val="006656E6"/>
    <w:rsid w:val="00666489"/>
    <w:rsid w:val="006667AD"/>
    <w:rsid w:val="00666BFC"/>
    <w:rsid w:val="00666D35"/>
    <w:rsid w:val="00667301"/>
    <w:rsid w:val="006709EC"/>
    <w:rsid w:val="006715E6"/>
    <w:rsid w:val="00671DD4"/>
    <w:rsid w:val="006723E1"/>
    <w:rsid w:val="00672402"/>
    <w:rsid w:val="006734D5"/>
    <w:rsid w:val="0067359F"/>
    <w:rsid w:val="006736A2"/>
    <w:rsid w:val="00673800"/>
    <w:rsid w:val="0067392B"/>
    <w:rsid w:val="006739B3"/>
    <w:rsid w:val="00673D1D"/>
    <w:rsid w:val="00674094"/>
    <w:rsid w:val="006746AB"/>
    <w:rsid w:val="006747D1"/>
    <w:rsid w:val="00674BB4"/>
    <w:rsid w:val="00674EBC"/>
    <w:rsid w:val="00675053"/>
    <w:rsid w:val="0067556A"/>
    <w:rsid w:val="00675590"/>
    <w:rsid w:val="00675ECF"/>
    <w:rsid w:val="006760F3"/>
    <w:rsid w:val="006762E8"/>
    <w:rsid w:val="006808DB"/>
    <w:rsid w:val="0068096B"/>
    <w:rsid w:val="00680A2C"/>
    <w:rsid w:val="00680B66"/>
    <w:rsid w:val="00682095"/>
    <w:rsid w:val="0068224E"/>
    <w:rsid w:val="00683402"/>
    <w:rsid w:val="006834D7"/>
    <w:rsid w:val="00683571"/>
    <w:rsid w:val="00684798"/>
    <w:rsid w:val="00684A4B"/>
    <w:rsid w:val="00684C05"/>
    <w:rsid w:val="00684FA8"/>
    <w:rsid w:val="006854BA"/>
    <w:rsid w:val="00685561"/>
    <w:rsid w:val="00685FAD"/>
    <w:rsid w:val="00686E5E"/>
    <w:rsid w:val="00686F85"/>
    <w:rsid w:val="0068755D"/>
    <w:rsid w:val="00687F51"/>
    <w:rsid w:val="0069066C"/>
    <w:rsid w:val="006906B1"/>
    <w:rsid w:val="006907D6"/>
    <w:rsid w:val="006918C1"/>
    <w:rsid w:val="00691E2D"/>
    <w:rsid w:val="00692713"/>
    <w:rsid w:val="00694164"/>
    <w:rsid w:val="00694872"/>
    <w:rsid w:val="00694D4F"/>
    <w:rsid w:val="00694FAF"/>
    <w:rsid w:val="006957F5"/>
    <w:rsid w:val="00695B79"/>
    <w:rsid w:val="00697B6E"/>
    <w:rsid w:val="006A017F"/>
    <w:rsid w:val="006A0771"/>
    <w:rsid w:val="006A0F6D"/>
    <w:rsid w:val="006A13EA"/>
    <w:rsid w:val="006A1AB5"/>
    <w:rsid w:val="006A1F35"/>
    <w:rsid w:val="006A21E5"/>
    <w:rsid w:val="006A2A46"/>
    <w:rsid w:val="006A2A5F"/>
    <w:rsid w:val="006A2BAB"/>
    <w:rsid w:val="006A2E75"/>
    <w:rsid w:val="006A328D"/>
    <w:rsid w:val="006A3A97"/>
    <w:rsid w:val="006A4421"/>
    <w:rsid w:val="006A4501"/>
    <w:rsid w:val="006A453F"/>
    <w:rsid w:val="006A468E"/>
    <w:rsid w:val="006A4AD0"/>
    <w:rsid w:val="006A4B09"/>
    <w:rsid w:val="006A5D19"/>
    <w:rsid w:val="006A5F7A"/>
    <w:rsid w:val="006A6317"/>
    <w:rsid w:val="006A6D13"/>
    <w:rsid w:val="006A7540"/>
    <w:rsid w:val="006A7584"/>
    <w:rsid w:val="006A77ED"/>
    <w:rsid w:val="006B0310"/>
    <w:rsid w:val="006B0E3F"/>
    <w:rsid w:val="006B1222"/>
    <w:rsid w:val="006B2292"/>
    <w:rsid w:val="006B334D"/>
    <w:rsid w:val="006B3393"/>
    <w:rsid w:val="006B3A57"/>
    <w:rsid w:val="006B40AB"/>
    <w:rsid w:val="006B4718"/>
    <w:rsid w:val="006B4C02"/>
    <w:rsid w:val="006B4C41"/>
    <w:rsid w:val="006B54D4"/>
    <w:rsid w:val="006B5A15"/>
    <w:rsid w:val="006B5BAB"/>
    <w:rsid w:val="006B5BE9"/>
    <w:rsid w:val="006B623C"/>
    <w:rsid w:val="006B6A39"/>
    <w:rsid w:val="006B6B2E"/>
    <w:rsid w:val="006B6FC4"/>
    <w:rsid w:val="006B7354"/>
    <w:rsid w:val="006C002A"/>
    <w:rsid w:val="006C0299"/>
    <w:rsid w:val="006C02CE"/>
    <w:rsid w:val="006C068C"/>
    <w:rsid w:val="006C1D2C"/>
    <w:rsid w:val="006C1FA6"/>
    <w:rsid w:val="006C22A0"/>
    <w:rsid w:val="006C2ECF"/>
    <w:rsid w:val="006C337A"/>
    <w:rsid w:val="006C33D6"/>
    <w:rsid w:val="006C3DFF"/>
    <w:rsid w:val="006C3F65"/>
    <w:rsid w:val="006C4435"/>
    <w:rsid w:val="006C4598"/>
    <w:rsid w:val="006C5508"/>
    <w:rsid w:val="006C564E"/>
    <w:rsid w:val="006C5D85"/>
    <w:rsid w:val="006C7960"/>
    <w:rsid w:val="006C7AAA"/>
    <w:rsid w:val="006D0421"/>
    <w:rsid w:val="006D15D9"/>
    <w:rsid w:val="006D18E2"/>
    <w:rsid w:val="006D1E61"/>
    <w:rsid w:val="006D20B3"/>
    <w:rsid w:val="006D2414"/>
    <w:rsid w:val="006D267C"/>
    <w:rsid w:val="006D28C2"/>
    <w:rsid w:val="006D364C"/>
    <w:rsid w:val="006D376A"/>
    <w:rsid w:val="006D3A63"/>
    <w:rsid w:val="006D4252"/>
    <w:rsid w:val="006D52B0"/>
    <w:rsid w:val="006D5622"/>
    <w:rsid w:val="006D59C6"/>
    <w:rsid w:val="006D6613"/>
    <w:rsid w:val="006D6CBC"/>
    <w:rsid w:val="006D6DC2"/>
    <w:rsid w:val="006D7759"/>
    <w:rsid w:val="006D79C2"/>
    <w:rsid w:val="006D7D23"/>
    <w:rsid w:val="006E06B7"/>
    <w:rsid w:val="006E0DD8"/>
    <w:rsid w:val="006E0F6C"/>
    <w:rsid w:val="006E17DB"/>
    <w:rsid w:val="006E1B8B"/>
    <w:rsid w:val="006E2AEB"/>
    <w:rsid w:val="006E4612"/>
    <w:rsid w:val="006E4FDE"/>
    <w:rsid w:val="006E5367"/>
    <w:rsid w:val="006E6E74"/>
    <w:rsid w:val="006E6EAA"/>
    <w:rsid w:val="006F09E0"/>
    <w:rsid w:val="006F0A6F"/>
    <w:rsid w:val="006F0D78"/>
    <w:rsid w:val="006F10D2"/>
    <w:rsid w:val="006F174E"/>
    <w:rsid w:val="006F1FE7"/>
    <w:rsid w:val="006F274F"/>
    <w:rsid w:val="006F31A6"/>
    <w:rsid w:val="006F45AA"/>
    <w:rsid w:val="006F47CC"/>
    <w:rsid w:val="006F572B"/>
    <w:rsid w:val="006F667C"/>
    <w:rsid w:val="006F7538"/>
    <w:rsid w:val="007005B4"/>
    <w:rsid w:val="00700E75"/>
    <w:rsid w:val="00701667"/>
    <w:rsid w:val="007017F5"/>
    <w:rsid w:val="00702983"/>
    <w:rsid w:val="00702E4F"/>
    <w:rsid w:val="0070338A"/>
    <w:rsid w:val="00703C25"/>
    <w:rsid w:val="007045D2"/>
    <w:rsid w:val="00704791"/>
    <w:rsid w:val="00704BEB"/>
    <w:rsid w:val="00704DC3"/>
    <w:rsid w:val="0070515C"/>
    <w:rsid w:val="00706C46"/>
    <w:rsid w:val="00707479"/>
    <w:rsid w:val="007076E6"/>
    <w:rsid w:val="00707BFF"/>
    <w:rsid w:val="00710485"/>
    <w:rsid w:val="00711235"/>
    <w:rsid w:val="00711A27"/>
    <w:rsid w:val="00712FC1"/>
    <w:rsid w:val="0071317B"/>
    <w:rsid w:val="007135F1"/>
    <w:rsid w:val="00713900"/>
    <w:rsid w:val="00713A0F"/>
    <w:rsid w:val="00713A17"/>
    <w:rsid w:val="00713AA1"/>
    <w:rsid w:val="00713D04"/>
    <w:rsid w:val="00714215"/>
    <w:rsid w:val="00714231"/>
    <w:rsid w:val="0071425B"/>
    <w:rsid w:val="007142CC"/>
    <w:rsid w:val="007146CE"/>
    <w:rsid w:val="00714A12"/>
    <w:rsid w:val="00714F11"/>
    <w:rsid w:val="007150FD"/>
    <w:rsid w:val="0071517B"/>
    <w:rsid w:val="00717C84"/>
    <w:rsid w:val="00717FF9"/>
    <w:rsid w:val="00720A0F"/>
    <w:rsid w:val="00720B2C"/>
    <w:rsid w:val="00720C24"/>
    <w:rsid w:val="00721E3C"/>
    <w:rsid w:val="007234B5"/>
    <w:rsid w:val="00723675"/>
    <w:rsid w:val="00723E8B"/>
    <w:rsid w:val="00723F41"/>
    <w:rsid w:val="00724118"/>
    <w:rsid w:val="0072531D"/>
    <w:rsid w:val="00725B77"/>
    <w:rsid w:val="007268FD"/>
    <w:rsid w:val="00727C17"/>
    <w:rsid w:val="00727D73"/>
    <w:rsid w:val="00727E0C"/>
    <w:rsid w:val="007303D8"/>
    <w:rsid w:val="00730424"/>
    <w:rsid w:val="00730933"/>
    <w:rsid w:val="00730F62"/>
    <w:rsid w:val="00731083"/>
    <w:rsid w:val="007310F1"/>
    <w:rsid w:val="0073122D"/>
    <w:rsid w:val="007319EE"/>
    <w:rsid w:val="007322CF"/>
    <w:rsid w:val="00733A63"/>
    <w:rsid w:val="00733B13"/>
    <w:rsid w:val="0073445B"/>
    <w:rsid w:val="007344DF"/>
    <w:rsid w:val="007344EE"/>
    <w:rsid w:val="00735677"/>
    <w:rsid w:val="00735BB2"/>
    <w:rsid w:val="007363C0"/>
    <w:rsid w:val="00736D69"/>
    <w:rsid w:val="00736FBC"/>
    <w:rsid w:val="0073732B"/>
    <w:rsid w:val="00737AF4"/>
    <w:rsid w:val="007405A5"/>
    <w:rsid w:val="00741A9F"/>
    <w:rsid w:val="00741B53"/>
    <w:rsid w:val="00742521"/>
    <w:rsid w:val="007426F9"/>
    <w:rsid w:val="007433AB"/>
    <w:rsid w:val="00743496"/>
    <w:rsid w:val="00743586"/>
    <w:rsid w:val="0074370C"/>
    <w:rsid w:val="00743A6E"/>
    <w:rsid w:val="007441BF"/>
    <w:rsid w:val="0074423C"/>
    <w:rsid w:val="00744A58"/>
    <w:rsid w:val="007454D9"/>
    <w:rsid w:val="007456C8"/>
    <w:rsid w:val="00746273"/>
    <w:rsid w:val="00746E13"/>
    <w:rsid w:val="00750296"/>
    <w:rsid w:val="00750436"/>
    <w:rsid w:val="007509CA"/>
    <w:rsid w:val="00750B62"/>
    <w:rsid w:val="00751B76"/>
    <w:rsid w:val="00751DA5"/>
    <w:rsid w:val="007520B0"/>
    <w:rsid w:val="0075217B"/>
    <w:rsid w:val="00752D3C"/>
    <w:rsid w:val="00753746"/>
    <w:rsid w:val="00753CB7"/>
    <w:rsid w:val="00754119"/>
    <w:rsid w:val="007543A9"/>
    <w:rsid w:val="00754494"/>
    <w:rsid w:val="007545CE"/>
    <w:rsid w:val="0075535F"/>
    <w:rsid w:val="00756321"/>
    <w:rsid w:val="007564A3"/>
    <w:rsid w:val="0075696D"/>
    <w:rsid w:val="00756AFC"/>
    <w:rsid w:val="00756F8C"/>
    <w:rsid w:val="0075706D"/>
    <w:rsid w:val="007570C1"/>
    <w:rsid w:val="0075732A"/>
    <w:rsid w:val="007575E6"/>
    <w:rsid w:val="00757746"/>
    <w:rsid w:val="00757F60"/>
    <w:rsid w:val="00761070"/>
    <w:rsid w:val="0076125E"/>
    <w:rsid w:val="00761475"/>
    <w:rsid w:val="00761DC5"/>
    <w:rsid w:val="00762154"/>
    <w:rsid w:val="00762777"/>
    <w:rsid w:val="00764500"/>
    <w:rsid w:val="00764698"/>
    <w:rsid w:val="0076504B"/>
    <w:rsid w:val="007663A9"/>
    <w:rsid w:val="0076646E"/>
    <w:rsid w:val="00766811"/>
    <w:rsid w:val="00766A7E"/>
    <w:rsid w:val="00766F75"/>
    <w:rsid w:val="00767567"/>
    <w:rsid w:val="00767A8C"/>
    <w:rsid w:val="00767C21"/>
    <w:rsid w:val="0077173C"/>
    <w:rsid w:val="00771758"/>
    <w:rsid w:val="00771B97"/>
    <w:rsid w:val="00771BBD"/>
    <w:rsid w:val="0077282C"/>
    <w:rsid w:val="00772E42"/>
    <w:rsid w:val="00772E5C"/>
    <w:rsid w:val="00773225"/>
    <w:rsid w:val="00773371"/>
    <w:rsid w:val="00773EA4"/>
    <w:rsid w:val="00774451"/>
    <w:rsid w:val="007744AE"/>
    <w:rsid w:val="0077451B"/>
    <w:rsid w:val="0077453F"/>
    <w:rsid w:val="007745FF"/>
    <w:rsid w:val="00774680"/>
    <w:rsid w:val="007755BC"/>
    <w:rsid w:val="00775C4C"/>
    <w:rsid w:val="0077637D"/>
    <w:rsid w:val="00776B7B"/>
    <w:rsid w:val="0077712A"/>
    <w:rsid w:val="00777307"/>
    <w:rsid w:val="00777347"/>
    <w:rsid w:val="0077744A"/>
    <w:rsid w:val="0078089E"/>
    <w:rsid w:val="007810CD"/>
    <w:rsid w:val="00781298"/>
    <w:rsid w:val="007822A2"/>
    <w:rsid w:val="00783434"/>
    <w:rsid w:val="00783C29"/>
    <w:rsid w:val="00783D5A"/>
    <w:rsid w:val="00783ED1"/>
    <w:rsid w:val="00784416"/>
    <w:rsid w:val="00785C83"/>
    <w:rsid w:val="00785E5D"/>
    <w:rsid w:val="007866A7"/>
    <w:rsid w:val="007874EE"/>
    <w:rsid w:val="007878DD"/>
    <w:rsid w:val="00787C4E"/>
    <w:rsid w:val="00787DBD"/>
    <w:rsid w:val="00787DE0"/>
    <w:rsid w:val="00790CA7"/>
    <w:rsid w:val="00790CB6"/>
    <w:rsid w:val="00790FEC"/>
    <w:rsid w:val="0079113C"/>
    <w:rsid w:val="00791625"/>
    <w:rsid w:val="007918D5"/>
    <w:rsid w:val="00792F8F"/>
    <w:rsid w:val="00793580"/>
    <w:rsid w:val="00793887"/>
    <w:rsid w:val="007939A3"/>
    <w:rsid w:val="00794ADA"/>
    <w:rsid w:val="00794FAD"/>
    <w:rsid w:val="007958A0"/>
    <w:rsid w:val="00795BF7"/>
    <w:rsid w:val="0079688B"/>
    <w:rsid w:val="00796BF1"/>
    <w:rsid w:val="00796D53"/>
    <w:rsid w:val="00797475"/>
    <w:rsid w:val="0079781D"/>
    <w:rsid w:val="00797E7A"/>
    <w:rsid w:val="00797FA2"/>
    <w:rsid w:val="007A01A4"/>
    <w:rsid w:val="007A090F"/>
    <w:rsid w:val="007A0D99"/>
    <w:rsid w:val="007A0E8A"/>
    <w:rsid w:val="007A0EEA"/>
    <w:rsid w:val="007A1038"/>
    <w:rsid w:val="007A1162"/>
    <w:rsid w:val="007A1FBA"/>
    <w:rsid w:val="007A235E"/>
    <w:rsid w:val="007A25AB"/>
    <w:rsid w:val="007A2BE9"/>
    <w:rsid w:val="007A38AD"/>
    <w:rsid w:val="007A3968"/>
    <w:rsid w:val="007A51C2"/>
    <w:rsid w:val="007A63B9"/>
    <w:rsid w:val="007A68F0"/>
    <w:rsid w:val="007A7641"/>
    <w:rsid w:val="007A79F8"/>
    <w:rsid w:val="007A7C8D"/>
    <w:rsid w:val="007B0F69"/>
    <w:rsid w:val="007B10E2"/>
    <w:rsid w:val="007B1597"/>
    <w:rsid w:val="007B1824"/>
    <w:rsid w:val="007B1ABA"/>
    <w:rsid w:val="007B2270"/>
    <w:rsid w:val="007B28C3"/>
    <w:rsid w:val="007B331A"/>
    <w:rsid w:val="007B4004"/>
    <w:rsid w:val="007B4005"/>
    <w:rsid w:val="007B4895"/>
    <w:rsid w:val="007B5449"/>
    <w:rsid w:val="007B6715"/>
    <w:rsid w:val="007B680E"/>
    <w:rsid w:val="007B68D6"/>
    <w:rsid w:val="007B7252"/>
    <w:rsid w:val="007B7B22"/>
    <w:rsid w:val="007C0066"/>
    <w:rsid w:val="007C0320"/>
    <w:rsid w:val="007C060F"/>
    <w:rsid w:val="007C0F41"/>
    <w:rsid w:val="007C12E8"/>
    <w:rsid w:val="007C1619"/>
    <w:rsid w:val="007C1984"/>
    <w:rsid w:val="007C1BBC"/>
    <w:rsid w:val="007C1C60"/>
    <w:rsid w:val="007C1F9C"/>
    <w:rsid w:val="007C2B29"/>
    <w:rsid w:val="007C323F"/>
    <w:rsid w:val="007C3AA3"/>
    <w:rsid w:val="007C3D0F"/>
    <w:rsid w:val="007C4590"/>
    <w:rsid w:val="007C4879"/>
    <w:rsid w:val="007C4F51"/>
    <w:rsid w:val="007C50CB"/>
    <w:rsid w:val="007C50F8"/>
    <w:rsid w:val="007C5F32"/>
    <w:rsid w:val="007C66B9"/>
    <w:rsid w:val="007C74D3"/>
    <w:rsid w:val="007C76B8"/>
    <w:rsid w:val="007C7D55"/>
    <w:rsid w:val="007D0B06"/>
    <w:rsid w:val="007D0F87"/>
    <w:rsid w:val="007D0F93"/>
    <w:rsid w:val="007D1796"/>
    <w:rsid w:val="007D18A8"/>
    <w:rsid w:val="007D22C6"/>
    <w:rsid w:val="007D2945"/>
    <w:rsid w:val="007D2ADB"/>
    <w:rsid w:val="007D2D4E"/>
    <w:rsid w:val="007D2EC2"/>
    <w:rsid w:val="007D2F9D"/>
    <w:rsid w:val="007D3379"/>
    <w:rsid w:val="007D37A6"/>
    <w:rsid w:val="007D5004"/>
    <w:rsid w:val="007D5448"/>
    <w:rsid w:val="007D5D64"/>
    <w:rsid w:val="007D6150"/>
    <w:rsid w:val="007D6532"/>
    <w:rsid w:val="007D712F"/>
    <w:rsid w:val="007D7607"/>
    <w:rsid w:val="007D76F8"/>
    <w:rsid w:val="007D7F72"/>
    <w:rsid w:val="007E02DA"/>
    <w:rsid w:val="007E0A82"/>
    <w:rsid w:val="007E23B0"/>
    <w:rsid w:val="007E25BE"/>
    <w:rsid w:val="007E2A1C"/>
    <w:rsid w:val="007E2C80"/>
    <w:rsid w:val="007E30B9"/>
    <w:rsid w:val="007E3BCE"/>
    <w:rsid w:val="007E3DE7"/>
    <w:rsid w:val="007E3E95"/>
    <w:rsid w:val="007E4841"/>
    <w:rsid w:val="007E5015"/>
    <w:rsid w:val="007E53CB"/>
    <w:rsid w:val="007E575B"/>
    <w:rsid w:val="007E57E2"/>
    <w:rsid w:val="007E62A1"/>
    <w:rsid w:val="007E6CA8"/>
    <w:rsid w:val="007E6FC3"/>
    <w:rsid w:val="007E7C59"/>
    <w:rsid w:val="007E7E41"/>
    <w:rsid w:val="007F0512"/>
    <w:rsid w:val="007F06D5"/>
    <w:rsid w:val="007F07AA"/>
    <w:rsid w:val="007F097F"/>
    <w:rsid w:val="007F0FC2"/>
    <w:rsid w:val="007F11A5"/>
    <w:rsid w:val="007F179C"/>
    <w:rsid w:val="007F2073"/>
    <w:rsid w:val="007F2655"/>
    <w:rsid w:val="007F355C"/>
    <w:rsid w:val="007F38C4"/>
    <w:rsid w:val="007F5641"/>
    <w:rsid w:val="007F585E"/>
    <w:rsid w:val="007F5EE4"/>
    <w:rsid w:val="007F5F46"/>
    <w:rsid w:val="007F6367"/>
    <w:rsid w:val="007F6607"/>
    <w:rsid w:val="007F6C59"/>
    <w:rsid w:val="007F700C"/>
    <w:rsid w:val="007F70EE"/>
    <w:rsid w:val="007F791B"/>
    <w:rsid w:val="007F7C35"/>
    <w:rsid w:val="007F7D61"/>
    <w:rsid w:val="008004A2"/>
    <w:rsid w:val="00800DEE"/>
    <w:rsid w:val="008016D8"/>
    <w:rsid w:val="008034F4"/>
    <w:rsid w:val="0080379D"/>
    <w:rsid w:val="00803F00"/>
    <w:rsid w:val="00804B9B"/>
    <w:rsid w:val="00804C72"/>
    <w:rsid w:val="00804ED6"/>
    <w:rsid w:val="00804F53"/>
    <w:rsid w:val="008050CB"/>
    <w:rsid w:val="00805D64"/>
    <w:rsid w:val="00805FAC"/>
    <w:rsid w:val="008060FC"/>
    <w:rsid w:val="0080636F"/>
    <w:rsid w:val="00806B07"/>
    <w:rsid w:val="00806D85"/>
    <w:rsid w:val="00807779"/>
    <w:rsid w:val="008101D3"/>
    <w:rsid w:val="00810857"/>
    <w:rsid w:val="00810CB3"/>
    <w:rsid w:val="00810FDC"/>
    <w:rsid w:val="008110AD"/>
    <w:rsid w:val="0081224A"/>
    <w:rsid w:val="00812910"/>
    <w:rsid w:val="00813DA7"/>
    <w:rsid w:val="00813ED3"/>
    <w:rsid w:val="008140F0"/>
    <w:rsid w:val="00814632"/>
    <w:rsid w:val="00814BC3"/>
    <w:rsid w:val="00814D9D"/>
    <w:rsid w:val="00814F9B"/>
    <w:rsid w:val="00814FF8"/>
    <w:rsid w:val="00815201"/>
    <w:rsid w:val="00815EC8"/>
    <w:rsid w:val="00815F97"/>
    <w:rsid w:val="00816E5F"/>
    <w:rsid w:val="00817098"/>
    <w:rsid w:val="008170A6"/>
    <w:rsid w:val="008173B1"/>
    <w:rsid w:val="00817595"/>
    <w:rsid w:val="0082059D"/>
    <w:rsid w:val="00820E1B"/>
    <w:rsid w:val="00821641"/>
    <w:rsid w:val="008216FC"/>
    <w:rsid w:val="00821800"/>
    <w:rsid w:val="0082181A"/>
    <w:rsid w:val="00821EA3"/>
    <w:rsid w:val="008222FD"/>
    <w:rsid w:val="008227D7"/>
    <w:rsid w:val="00822923"/>
    <w:rsid w:val="0082316B"/>
    <w:rsid w:val="008238F2"/>
    <w:rsid w:val="00823912"/>
    <w:rsid w:val="00824C24"/>
    <w:rsid w:val="00824DB9"/>
    <w:rsid w:val="00824EC7"/>
    <w:rsid w:val="00825A7C"/>
    <w:rsid w:val="00825B85"/>
    <w:rsid w:val="008275DD"/>
    <w:rsid w:val="00827A85"/>
    <w:rsid w:val="00827D18"/>
    <w:rsid w:val="00830889"/>
    <w:rsid w:val="00830D65"/>
    <w:rsid w:val="008314D2"/>
    <w:rsid w:val="0083151A"/>
    <w:rsid w:val="00831C9A"/>
    <w:rsid w:val="00832E37"/>
    <w:rsid w:val="00832F79"/>
    <w:rsid w:val="00833121"/>
    <w:rsid w:val="008334A3"/>
    <w:rsid w:val="00834BB6"/>
    <w:rsid w:val="0083557F"/>
    <w:rsid w:val="00835A0C"/>
    <w:rsid w:val="00836CFF"/>
    <w:rsid w:val="0083718D"/>
    <w:rsid w:val="00840037"/>
    <w:rsid w:val="008406DE"/>
    <w:rsid w:val="008407ED"/>
    <w:rsid w:val="00840834"/>
    <w:rsid w:val="00840ADB"/>
    <w:rsid w:val="00841D70"/>
    <w:rsid w:val="00843D64"/>
    <w:rsid w:val="00844CF1"/>
    <w:rsid w:val="008450B7"/>
    <w:rsid w:val="00845964"/>
    <w:rsid w:val="00845E35"/>
    <w:rsid w:val="00845F71"/>
    <w:rsid w:val="00846D41"/>
    <w:rsid w:val="00846D81"/>
    <w:rsid w:val="00846EA4"/>
    <w:rsid w:val="008470AA"/>
    <w:rsid w:val="00847B35"/>
    <w:rsid w:val="008500EF"/>
    <w:rsid w:val="0085056B"/>
    <w:rsid w:val="0085060B"/>
    <w:rsid w:val="00851529"/>
    <w:rsid w:val="0085173B"/>
    <w:rsid w:val="00852629"/>
    <w:rsid w:val="00853179"/>
    <w:rsid w:val="00853764"/>
    <w:rsid w:val="00853BDF"/>
    <w:rsid w:val="00854239"/>
    <w:rsid w:val="0085530E"/>
    <w:rsid w:val="008556AE"/>
    <w:rsid w:val="008558FB"/>
    <w:rsid w:val="008559A7"/>
    <w:rsid w:val="00856E35"/>
    <w:rsid w:val="00857D4A"/>
    <w:rsid w:val="00860C75"/>
    <w:rsid w:val="00861B5C"/>
    <w:rsid w:val="0086305B"/>
    <w:rsid w:val="00863C6A"/>
    <w:rsid w:val="0086483C"/>
    <w:rsid w:val="00864A9C"/>
    <w:rsid w:val="00865664"/>
    <w:rsid w:val="008666D6"/>
    <w:rsid w:val="00866772"/>
    <w:rsid w:val="008667D5"/>
    <w:rsid w:val="00866CA1"/>
    <w:rsid w:val="00870527"/>
    <w:rsid w:val="00870694"/>
    <w:rsid w:val="0087086E"/>
    <w:rsid w:val="008709F3"/>
    <w:rsid w:val="00870E56"/>
    <w:rsid w:val="00871F4F"/>
    <w:rsid w:val="008730C3"/>
    <w:rsid w:val="00873739"/>
    <w:rsid w:val="00873F0A"/>
    <w:rsid w:val="00875554"/>
    <w:rsid w:val="00875820"/>
    <w:rsid w:val="00875A18"/>
    <w:rsid w:val="008768BF"/>
    <w:rsid w:val="00876D74"/>
    <w:rsid w:val="00876E2D"/>
    <w:rsid w:val="008770CB"/>
    <w:rsid w:val="00877B90"/>
    <w:rsid w:val="008808DC"/>
    <w:rsid w:val="008808E5"/>
    <w:rsid w:val="00880CD2"/>
    <w:rsid w:val="00880FD7"/>
    <w:rsid w:val="00881888"/>
    <w:rsid w:val="00881F42"/>
    <w:rsid w:val="008826A5"/>
    <w:rsid w:val="00882B76"/>
    <w:rsid w:val="00882DDC"/>
    <w:rsid w:val="0088356F"/>
    <w:rsid w:val="0088398B"/>
    <w:rsid w:val="008842AE"/>
    <w:rsid w:val="00884EB5"/>
    <w:rsid w:val="008852F6"/>
    <w:rsid w:val="00885648"/>
    <w:rsid w:val="00885BA6"/>
    <w:rsid w:val="00886447"/>
    <w:rsid w:val="0088662E"/>
    <w:rsid w:val="00886896"/>
    <w:rsid w:val="00886B65"/>
    <w:rsid w:val="00887416"/>
    <w:rsid w:val="0088753E"/>
    <w:rsid w:val="00887778"/>
    <w:rsid w:val="00887D15"/>
    <w:rsid w:val="00890295"/>
    <w:rsid w:val="0089144C"/>
    <w:rsid w:val="00891B22"/>
    <w:rsid w:val="0089226A"/>
    <w:rsid w:val="00892598"/>
    <w:rsid w:val="00892937"/>
    <w:rsid w:val="00893CD6"/>
    <w:rsid w:val="0089426F"/>
    <w:rsid w:val="0089476C"/>
    <w:rsid w:val="00894DC9"/>
    <w:rsid w:val="008951C7"/>
    <w:rsid w:val="00895DC5"/>
    <w:rsid w:val="008962C5"/>
    <w:rsid w:val="00897A4C"/>
    <w:rsid w:val="00897A7B"/>
    <w:rsid w:val="00897C50"/>
    <w:rsid w:val="008A0262"/>
    <w:rsid w:val="008A094C"/>
    <w:rsid w:val="008A0F5C"/>
    <w:rsid w:val="008A104B"/>
    <w:rsid w:val="008A1159"/>
    <w:rsid w:val="008A128B"/>
    <w:rsid w:val="008A1AD3"/>
    <w:rsid w:val="008A1C28"/>
    <w:rsid w:val="008A20DA"/>
    <w:rsid w:val="008A2491"/>
    <w:rsid w:val="008A2706"/>
    <w:rsid w:val="008A2940"/>
    <w:rsid w:val="008A2A4D"/>
    <w:rsid w:val="008A3523"/>
    <w:rsid w:val="008A3A7C"/>
    <w:rsid w:val="008A3EA9"/>
    <w:rsid w:val="008A4108"/>
    <w:rsid w:val="008A47D7"/>
    <w:rsid w:val="008A51A2"/>
    <w:rsid w:val="008A5328"/>
    <w:rsid w:val="008A57C9"/>
    <w:rsid w:val="008A599D"/>
    <w:rsid w:val="008A5E3C"/>
    <w:rsid w:val="008A5FD0"/>
    <w:rsid w:val="008A623B"/>
    <w:rsid w:val="008A6EB8"/>
    <w:rsid w:val="008A72B0"/>
    <w:rsid w:val="008A7394"/>
    <w:rsid w:val="008B0AF3"/>
    <w:rsid w:val="008B0CDD"/>
    <w:rsid w:val="008B0EC8"/>
    <w:rsid w:val="008B0F52"/>
    <w:rsid w:val="008B1432"/>
    <w:rsid w:val="008B1932"/>
    <w:rsid w:val="008B1EED"/>
    <w:rsid w:val="008B1F42"/>
    <w:rsid w:val="008B2106"/>
    <w:rsid w:val="008B24D6"/>
    <w:rsid w:val="008B362D"/>
    <w:rsid w:val="008B3CBE"/>
    <w:rsid w:val="008B40BF"/>
    <w:rsid w:val="008B4766"/>
    <w:rsid w:val="008B6493"/>
    <w:rsid w:val="008B6702"/>
    <w:rsid w:val="008B67AF"/>
    <w:rsid w:val="008B6A4B"/>
    <w:rsid w:val="008B6BFE"/>
    <w:rsid w:val="008B6DFD"/>
    <w:rsid w:val="008B70A4"/>
    <w:rsid w:val="008C072D"/>
    <w:rsid w:val="008C0917"/>
    <w:rsid w:val="008C1197"/>
    <w:rsid w:val="008C1EA0"/>
    <w:rsid w:val="008C2A11"/>
    <w:rsid w:val="008C2C1C"/>
    <w:rsid w:val="008C2E33"/>
    <w:rsid w:val="008C2FCC"/>
    <w:rsid w:val="008C4546"/>
    <w:rsid w:val="008C4F4D"/>
    <w:rsid w:val="008C529D"/>
    <w:rsid w:val="008C5361"/>
    <w:rsid w:val="008C545F"/>
    <w:rsid w:val="008C54F8"/>
    <w:rsid w:val="008C58E6"/>
    <w:rsid w:val="008C6380"/>
    <w:rsid w:val="008C7411"/>
    <w:rsid w:val="008C7447"/>
    <w:rsid w:val="008C77E5"/>
    <w:rsid w:val="008C79D0"/>
    <w:rsid w:val="008D14A1"/>
    <w:rsid w:val="008D184C"/>
    <w:rsid w:val="008D18BB"/>
    <w:rsid w:val="008D1A10"/>
    <w:rsid w:val="008D1DEB"/>
    <w:rsid w:val="008D229F"/>
    <w:rsid w:val="008D2A99"/>
    <w:rsid w:val="008D2AA2"/>
    <w:rsid w:val="008D2ACF"/>
    <w:rsid w:val="008D370C"/>
    <w:rsid w:val="008D3AC9"/>
    <w:rsid w:val="008D4536"/>
    <w:rsid w:val="008D465A"/>
    <w:rsid w:val="008D5D37"/>
    <w:rsid w:val="008D63A9"/>
    <w:rsid w:val="008D664A"/>
    <w:rsid w:val="008D7B09"/>
    <w:rsid w:val="008E10E2"/>
    <w:rsid w:val="008E127C"/>
    <w:rsid w:val="008E1AF1"/>
    <w:rsid w:val="008E23C3"/>
    <w:rsid w:val="008E2490"/>
    <w:rsid w:val="008E2905"/>
    <w:rsid w:val="008E2C9E"/>
    <w:rsid w:val="008E32B9"/>
    <w:rsid w:val="008E3768"/>
    <w:rsid w:val="008E3D3F"/>
    <w:rsid w:val="008E4594"/>
    <w:rsid w:val="008E4FE6"/>
    <w:rsid w:val="008E5041"/>
    <w:rsid w:val="008E59CC"/>
    <w:rsid w:val="008E618D"/>
    <w:rsid w:val="008E636F"/>
    <w:rsid w:val="008E6BB8"/>
    <w:rsid w:val="008E72A9"/>
    <w:rsid w:val="008E7A03"/>
    <w:rsid w:val="008E7B7C"/>
    <w:rsid w:val="008E7B85"/>
    <w:rsid w:val="008F061C"/>
    <w:rsid w:val="008F18A8"/>
    <w:rsid w:val="008F1BB6"/>
    <w:rsid w:val="008F1D2B"/>
    <w:rsid w:val="008F2D24"/>
    <w:rsid w:val="008F2D3C"/>
    <w:rsid w:val="008F2F08"/>
    <w:rsid w:val="008F3147"/>
    <w:rsid w:val="008F3258"/>
    <w:rsid w:val="008F35C3"/>
    <w:rsid w:val="008F38D2"/>
    <w:rsid w:val="008F3B6C"/>
    <w:rsid w:val="008F57FD"/>
    <w:rsid w:val="008F6677"/>
    <w:rsid w:val="008F7660"/>
    <w:rsid w:val="008F7902"/>
    <w:rsid w:val="009004A4"/>
    <w:rsid w:val="009006E1"/>
    <w:rsid w:val="00900873"/>
    <w:rsid w:val="00900E45"/>
    <w:rsid w:val="009019A3"/>
    <w:rsid w:val="00902720"/>
    <w:rsid w:val="00903064"/>
    <w:rsid w:val="00903272"/>
    <w:rsid w:val="009032AE"/>
    <w:rsid w:val="00903372"/>
    <w:rsid w:val="009034FA"/>
    <w:rsid w:val="0090363E"/>
    <w:rsid w:val="0090390B"/>
    <w:rsid w:val="009048C6"/>
    <w:rsid w:val="00904B9B"/>
    <w:rsid w:val="00904FBE"/>
    <w:rsid w:val="0090543B"/>
    <w:rsid w:val="009058BC"/>
    <w:rsid w:val="009058F6"/>
    <w:rsid w:val="009068F8"/>
    <w:rsid w:val="00906A42"/>
    <w:rsid w:val="00906E8C"/>
    <w:rsid w:val="00906EF5"/>
    <w:rsid w:val="00907094"/>
    <w:rsid w:val="0090713F"/>
    <w:rsid w:val="00907890"/>
    <w:rsid w:val="00907DDD"/>
    <w:rsid w:val="00910027"/>
    <w:rsid w:val="00910885"/>
    <w:rsid w:val="009108E3"/>
    <w:rsid w:val="009110D6"/>
    <w:rsid w:val="00911129"/>
    <w:rsid w:val="0091395E"/>
    <w:rsid w:val="00913D56"/>
    <w:rsid w:val="00913F22"/>
    <w:rsid w:val="00915503"/>
    <w:rsid w:val="00916371"/>
    <w:rsid w:val="00916A74"/>
    <w:rsid w:val="009174DC"/>
    <w:rsid w:val="00917B14"/>
    <w:rsid w:val="00917D95"/>
    <w:rsid w:val="00920A76"/>
    <w:rsid w:val="00920CDA"/>
    <w:rsid w:val="00920DD4"/>
    <w:rsid w:val="00920EF7"/>
    <w:rsid w:val="0092136F"/>
    <w:rsid w:val="0092222A"/>
    <w:rsid w:val="00922743"/>
    <w:rsid w:val="009230AC"/>
    <w:rsid w:val="00923395"/>
    <w:rsid w:val="00923E9D"/>
    <w:rsid w:val="00924A40"/>
    <w:rsid w:val="009250EF"/>
    <w:rsid w:val="0092520F"/>
    <w:rsid w:val="00925663"/>
    <w:rsid w:val="00925B5D"/>
    <w:rsid w:val="00925C5C"/>
    <w:rsid w:val="00925E11"/>
    <w:rsid w:val="0092668F"/>
    <w:rsid w:val="00926E3E"/>
    <w:rsid w:val="0092728C"/>
    <w:rsid w:val="0093148C"/>
    <w:rsid w:val="00931B42"/>
    <w:rsid w:val="00931B6B"/>
    <w:rsid w:val="00931D64"/>
    <w:rsid w:val="00932B29"/>
    <w:rsid w:val="00932D78"/>
    <w:rsid w:val="00932FD5"/>
    <w:rsid w:val="0093359D"/>
    <w:rsid w:val="00933651"/>
    <w:rsid w:val="009339FA"/>
    <w:rsid w:val="00934034"/>
    <w:rsid w:val="00934453"/>
    <w:rsid w:val="00934A5A"/>
    <w:rsid w:val="00934CCA"/>
    <w:rsid w:val="00934E30"/>
    <w:rsid w:val="009352CE"/>
    <w:rsid w:val="00935859"/>
    <w:rsid w:val="009358B7"/>
    <w:rsid w:val="00936293"/>
    <w:rsid w:val="00936438"/>
    <w:rsid w:val="00936EAE"/>
    <w:rsid w:val="00940311"/>
    <w:rsid w:val="00940BEA"/>
    <w:rsid w:val="0094132D"/>
    <w:rsid w:val="00941466"/>
    <w:rsid w:val="009415E4"/>
    <w:rsid w:val="009418C3"/>
    <w:rsid w:val="00942393"/>
    <w:rsid w:val="0094284B"/>
    <w:rsid w:val="0094304F"/>
    <w:rsid w:val="009438DE"/>
    <w:rsid w:val="00944C1D"/>
    <w:rsid w:val="009453E2"/>
    <w:rsid w:val="00945F93"/>
    <w:rsid w:val="00946B8A"/>
    <w:rsid w:val="00946BE5"/>
    <w:rsid w:val="00947032"/>
    <w:rsid w:val="009471B7"/>
    <w:rsid w:val="009476E2"/>
    <w:rsid w:val="00950444"/>
    <w:rsid w:val="009507F6"/>
    <w:rsid w:val="00950D32"/>
    <w:rsid w:val="00950ED1"/>
    <w:rsid w:val="0095130B"/>
    <w:rsid w:val="0095170F"/>
    <w:rsid w:val="009540B3"/>
    <w:rsid w:val="00954810"/>
    <w:rsid w:val="00955150"/>
    <w:rsid w:val="00955745"/>
    <w:rsid w:val="00955A87"/>
    <w:rsid w:val="00956D87"/>
    <w:rsid w:val="009602BD"/>
    <w:rsid w:val="0096071D"/>
    <w:rsid w:val="00960EC0"/>
    <w:rsid w:val="0096125A"/>
    <w:rsid w:val="009628B3"/>
    <w:rsid w:val="0096299C"/>
    <w:rsid w:val="00962F62"/>
    <w:rsid w:val="0096316B"/>
    <w:rsid w:val="00963177"/>
    <w:rsid w:val="00964074"/>
    <w:rsid w:val="009645AA"/>
    <w:rsid w:val="00964C04"/>
    <w:rsid w:val="00964D00"/>
    <w:rsid w:val="00965729"/>
    <w:rsid w:val="00965C24"/>
    <w:rsid w:val="00965CF9"/>
    <w:rsid w:val="009666B2"/>
    <w:rsid w:val="00967431"/>
    <w:rsid w:val="009679C8"/>
    <w:rsid w:val="009701B5"/>
    <w:rsid w:val="009702A3"/>
    <w:rsid w:val="00970DCF"/>
    <w:rsid w:val="009711F8"/>
    <w:rsid w:val="009713F8"/>
    <w:rsid w:val="0097160D"/>
    <w:rsid w:val="00971B30"/>
    <w:rsid w:val="00971DB1"/>
    <w:rsid w:val="00971FC6"/>
    <w:rsid w:val="0097229B"/>
    <w:rsid w:val="0097290D"/>
    <w:rsid w:val="00974AF9"/>
    <w:rsid w:val="009750D4"/>
    <w:rsid w:val="00975241"/>
    <w:rsid w:val="00975AAE"/>
    <w:rsid w:val="009769D1"/>
    <w:rsid w:val="00976FCD"/>
    <w:rsid w:val="0097751A"/>
    <w:rsid w:val="009778C3"/>
    <w:rsid w:val="00980DC3"/>
    <w:rsid w:val="00981567"/>
    <w:rsid w:val="00981814"/>
    <w:rsid w:val="009823EA"/>
    <w:rsid w:val="00982C82"/>
    <w:rsid w:val="009831F2"/>
    <w:rsid w:val="00983D0C"/>
    <w:rsid w:val="00984C7A"/>
    <w:rsid w:val="0098504F"/>
    <w:rsid w:val="0098535C"/>
    <w:rsid w:val="00985E86"/>
    <w:rsid w:val="00986170"/>
    <w:rsid w:val="00986263"/>
    <w:rsid w:val="00987328"/>
    <w:rsid w:val="00987B0B"/>
    <w:rsid w:val="00987B34"/>
    <w:rsid w:val="009901AC"/>
    <w:rsid w:val="009901C4"/>
    <w:rsid w:val="00990831"/>
    <w:rsid w:val="00991328"/>
    <w:rsid w:val="0099189A"/>
    <w:rsid w:val="009922F5"/>
    <w:rsid w:val="00993453"/>
    <w:rsid w:val="009935BB"/>
    <w:rsid w:val="009938AF"/>
    <w:rsid w:val="00993B8F"/>
    <w:rsid w:val="00993FB8"/>
    <w:rsid w:val="0099563A"/>
    <w:rsid w:val="0099565A"/>
    <w:rsid w:val="00997A03"/>
    <w:rsid w:val="00997EDA"/>
    <w:rsid w:val="009A0416"/>
    <w:rsid w:val="009A060C"/>
    <w:rsid w:val="009A0B0C"/>
    <w:rsid w:val="009A1474"/>
    <w:rsid w:val="009A175B"/>
    <w:rsid w:val="009A1ECF"/>
    <w:rsid w:val="009A1F72"/>
    <w:rsid w:val="009A30BF"/>
    <w:rsid w:val="009A3221"/>
    <w:rsid w:val="009A3594"/>
    <w:rsid w:val="009A39DF"/>
    <w:rsid w:val="009A454A"/>
    <w:rsid w:val="009A455D"/>
    <w:rsid w:val="009A48C7"/>
    <w:rsid w:val="009A4B9F"/>
    <w:rsid w:val="009A52EE"/>
    <w:rsid w:val="009A537F"/>
    <w:rsid w:val="009A5BD9"/>
    <w:rsid w:val="009A6440"/>
    <w:rsid w:val="009A65D9"/>
    <w:rsid w:val="009A7C19"/>
    <w:rsid w:val="009B0A1B"/>
    <w:rsid w:val="009B0C69"/>
    <w:rsid w:val="009B2B94"/>
    <w:rsid w:val="009B2BFD"/>
    <w:rsid w:val="009B3022"/>
    <w:rsid w:val="009B37B8"/>
    <w:rsid w:val="009B4850"/>
    <w:rsid w:val="009B5380"/>
    <w:rsid w:val="009B5394"/>
    <w:rsid w:val="009B5ED4"/>
    <w:rsid w:val="009B5F94"/>
    <w:rsid w:val="009B7EA5"/>
    <w:rsid w:val="009C0575"/>
    <w:rsid w:val="009C069C"/>
    <w:rsid w:val="009C1080"/>
    <w:rsid w:val="009C14E4"/>
    <w:rsid w:val="009C2047"/>
    <w:rsid w:val="009C276C"/>
    <w:rsid w:val="009C2A40"/>
    <w:rsid w:val="009C352D"/>
    <w:rsid w:val="009C38CA"/>
    <w:rsid w:val="009C3987"/>
    <w:rsid w:val="009C3BF7"/>
    <w:rsid w:val="009C45F2"/>
    <w:rsid w:val="009C4850"/>
    <w:rsid w:val="009C4BC7"/>
    <w:rsid w:val="009C51D7"/>
    <w:rsid w:val="009C51DE"/>
    <w:rsid w:val="009C5532"/>
    <w:rsid w:val="009C57F5"/>
    <w:rsid w:val="009C69C4"/>
    <w:rsid w:val="009C7290"/>
    <w:rsid w:val="009C7549"/>
    <w:rsid w:val="009D138D"/>
    <w:rsid w:val="009D2AFD"/>
    <w:rsid w:val="009D2D95"/>
    <w:rsid w:val="009D2DB5"/>
    <w:rsid w:val="009D3714"/>
    <w:rsid w:val="009D3832"/>
    <w:rsid w:val="009D425F"/>
    <w:rsid w:val="009D461D"/>
    <w:rsid w:val="009D52A0"/>
    <w:rsid w:val="009D53CB"/>
    <w:rsid w:val="009D5BA4"/>
    <w:rsid w:val="009D5EE3"/>
    <w:rsid w:val="009D67DE"/>
    <w:rsid w:val="009D6B5E"/>
    <w:rsid w:val="009D7FE2"/>
    <w:rsid w:val="009E05A0"/>
    <w:rsid w:val="009E0ACC"/>
    <w:rsid w:val="009E1C74"/>
    <w:rsid w:val="009E23EE"/>
    <w:rsid w:val="009E2581"/>
    <w:rsid w:val="009E2A55"/>
    <w:rsid w:val="009E2E3F"/>
    <w:rsid w:val="009E2EEC"/>
    <w:rsid w:val="009E37FF"/>
    <w:rsid w:val="009E38CC"/>
    <w:rsid w:val="009E456C"/>
    <w:rsid w:val="009E7261"/>
    <w:rsid w:val="009E759A"/>
    <w:rsid w:val="009E76B1"/>
    <w:rsid w:val="009E787C"/>
    <w:rsid w:val="009E7F39"/>
    <w:rsid w:val="009F0178"/>
    <w:rsid w:val="009F1927"/>
    <w:rsid w:val="009F33BF"/>
    <w:rsid w:val="009F33CB"/>
    <w:rsid w:val="009F3438"/>
    <w:rsid w:val="009F358A"/>
    <w:rsid w:val="009F3863"/>
    <w:rsid w:val="009F3A0D"/>
    <w:rsid w:val="009F5ADF"/>
    <w:rsid w:val="009F5EF7"/>
    <w:rsid w:val="009F5F97"/>
    <w:rsid w:val="009F5FD9"/>
    <w:rsid w:val="009F620F"/>
    <w:rsid w:val="009F6B78"/>
    <w:rsid w:val="009F6C9C"/>
    <w:rsid w:val="009F712E"/>
    <w:rsid w:val="009F75F8"/>
    <w:rsid w:val="009F765C"/>
    <w:rsid w:val="009F7AF4"/>
    <w:rsid w:val="00A0002F"/>
    <w:rsid w:val="00A00254"/>
    <w:rsid w:val="00A0132D"/>
    <w:rsid w:val="00A015B4"/>
    <w:rsid w:val="00A01AAD"/>
    <w:rsid w:val="00A0277C"/>
    <w:rsid w:val="00A02CB3"/>
    <w:rsid w:val="00A02D5C"/>
    <w:rsid w:val="00A031E3"/>
    <w:rsid w:val="00A03535"/>
    <w:rsid w:val="00A038D9"/>
    <w:rsid w:val="00A042CD"/>
    <w:rsid w:val="00A04AFE"/>
    <w:rsid w:val="00A05586"/>
    <w:rsid w:val="00A057DC"/>
    <w:rsid w:val="00A05AB2"/>
    <w:rsid w:val="00A0677F"/>
    <w:rsid w:val="00A0695B"/>
    <w:rsid w:val="00A07472"/>
    <w:rsid w:val="00A076B0"/>
    <w:rsid w:val="00A07AAF"/>
    <w:rsid w:val="00A1034D"/>
    <w:rsid w:val="00A10757"/>
    <w:rsid w:val="00A10A0A"/>
    <w:rsid w:val="00A10A6E"/>
    <w:rsid w:val="00A10FEC"/>
    <w:rsid w:val="00A11799"/>
    <w:rsid w:val="00A12E74"/>
    <w:rsid w:val="00A13365"/>
    <w:rsid w:val="00A13432"/>
    <w:rsid w:val="00A13630"/>
    <w:rsid w:val="00A139B9"/>
    <w:rsid w:val="00A13B1B"/>
    <w:rsid w:val="00A144B7"/>
    <w:rsid w:val="00A14F00"/>
    <w:rsid w:val="00A15183"/>
    <w:rsid w:val="00A1570C"/>
    <w:rsid w:val="00A15B4C"/>
    <w:rsid w:val="00A1613E"/>
    <w:rsid w:val="00A170C8"/>
    <w:rsid w:val="00A1777D"/>
    <w:rsid w:val="00A177F6"/>
    <w:rsid w:val="00A207E0"/>
    <w:rsid w:val="00A213A6"/>
    <w:rsid w:val="00A21657"/>
    <w:rsid w:val="00A219E2"/>
    <w:rsid w:val="00A22846"/>
    <w:rsid w:val="00A2302E"/>
    <w:rsid w:val="00A23447"/>
    <w:rsid w:val="00A244DF"/>
    <w:rsid w:val="00A249D5"/>
    <w:rsid w:val="00A24BB5"/>
    <w:rsid w:val="00A25A08"/>
    <w:rsid w:val="00A25A76"/>
    <w:rsid w:val="00A25F13"/>
    <w:rsid w:val="00A2644C"/>
    <w:rsid w:val="00A26953"/>
    <w:rsid w:val="00A27163"/>
    <w:rsid w:val="00A27671"/>
    <w:rsid w:val="00A3080F"/>
    <w:rsid w:val="00A30D4D"/>
    <w:rsid w:val="00A30DF5"/>
    <w:rsid w:val="00A320D0"/>
    <w:rsid w:val="00A32210"/>
    <w:rsid w:val="00A323F5"/>
    <w:rsid w:val="00A33407"/>
    <w:rsid w:val="00A33593"/>
    <w:rsid w:val="00A33CF2"/>
    <w:rsid w:val="00A34224"/>
    <w:rsid w:val="00A34520"/>
    <w:rsid w:val="00A347BD"/>
    <w:rsid w:val="00A374E2"/>
    <w:rsid w:val="00A37B0B"/>
    <w:rsid w:val="00A41757"/>
    <w:rsid w:val="00A41AA7"/>
    <w:rsid w:val="00A41BEB"/>
    <w:rsid w:val="00A41F5D"/>
    <w:rsid w:val="00A42131"/>
    <w:rsid w:val="00A421D7"/>
    <w:rsid w:val="00A42F07"/>
    <w:rsid w:val="00A431FD"/>
    <w:rsid w:val="00A444F9"/>
    <w:rsid w:val="00A44AD8"/>
    <w:rsid w:val="00A44D0D"/>
    <w:rsid w:val="00A450C2"/>
    <w:rsid w:val="00A45551"/>
    <w:rsid w:val="00A45EAE"/>
    <w:rsid w:val="00A4649A"/>
    <w:rsid w:val="00A4689A"/>
    <w:rsid w:val="00A47000"/>
    <w:rsid w:val="00A471DD"/>
    <w:rsid w:val="00A47696"/>
    <w:rsid w:val="00A47F07"/>
    <w:rsid w:val="00A5010F"/>
    <w:rsid w:val="00A50401"/>
    <w:rsid w:val="00A506D6"/>
    <w:rsid w:val="00A50FB9"/>
    <w:rsid w:val="00A51175"/>
    <w:rsid w:val="00A519C5"/>
    <w:rsid w:val="00A51C8A"/>
    <w:rsid w:val="00A527FA"/>
    <w:rsid w:val="00A53653"/>
    <w:rsid w:val="00A54CD1"/>
    <w:rsid w:val="00A55442"/>
    <w:rsid w:val="00A55703"/>
    <w:rsid w:val="00A5629A"/>
    <w:rsid w:val="00A569DD"/>
    <w:rsid w:val="00A56C6D"/>
    <w:rsid w:val="00A57266"/>
    <w:rsid w:val="00A572D6"/>
    <w:rsid w:val="00A57FC9"/>
    <w:rsid w:val="00A609B3"/>
    <w:rsid w:val="00A615E5"/>
    <w:rsid w:val="00A61A41"/>
    <w:rsid w:val="00A61E66"/>
    <w:rsid w:val="00A6224F"/>
    <w:rsid w:val="00A62356"/>
    <w:rsid w:val="00A62A84"/>
    <w:rsid w:val="00A62B22"/>
    <w:rsid w:val="00A63255"/>
    <w:rsid w:val="00A63571"/>
    <w:rsid w:val="00A63649"/>
    <w:rsid w:val="00A63CE6"/>
    <w:rsid w:val="00A649AF"/>
    <w:rsid w:val="00A64F59"/>
    <w:rsid w:val="00A6663B"/>
    <w:rsid w:val="00A71BF4"/>
    <w:rsid w:val="00A73099"/>
    <w:rsid w:val="00A7315A"/>
    <w:rsid w:val="00A733EE"/>
    <w:rsid w:val="00A73DD0"/>
    <w:rsid w:val="00A740D4"/>
    <w:rsid w:val="00A74501"/>
    <w:rsid w:val="00A77581"/>
    <w:rsid w:val="00A77678"/>
    <w:rsid w:val="00A80D48"/>
    <w:rsid w:val="00A80F00"/>
    <w:rsid w:val="00A812EC"/>
    <w:rsid w:val="00A8145C"/>
    <w:rsid w:val="00A816D4"/>
    <w:rsid w:val="00A81D6D"/>
    <w:rsid w:val="00A81D9C"/>
    <w:rsid w:val="00A81FDF"/>
    <w:rsid w:val="00A8210C"/>
    <w:rsid w:val="00A83601"/>
    <w:rsid w:val="00A8429E"/>
    <w:rsid w:val="00A85145"/>
    <w:rsid w:val="00A855D2"/>
    <w:rsid w:val="00A85A30"/>
    <w:rsid w:val="00A85DA0"/>
    <w:rsid w:val="00A8684B"/>
    <w:rsid w:val="00A871B7"/>
    <w:rsid w:val="00A87892"/>
    <w:rsid w:val="00A87964"/>
    <w:rsid w:val="00A87FD4"/>
    <w:rsid w:val="00A91044"/>
    <w:rsid w:val="00A912F8"/>
    <w:rsid w:val="00A91440"/>
    <w:rsid w:val="00A91AB8"/>
    <w:rsid w:val="00A91E94"/>
    <w:rsid w:val="00A92967"/>
    <w:rsid w:val="00A92F32"/>
    <w:rsid w:val="00A93088"/>
    <w:rsid w:val="00A93A91"/>
    <w:rsid w:val="00A93BA0"/>
    <w:rsid w:val="00A93C05"/>
    <w:rsid w:val="00A943AB"/>
    <w:rsid w:val="00A95594"/>
    <w:rsid w:val="00A96189"/>
    <w:rsid w:val="00A965AD"/>
    <w:rsid w:val="00A968EE"/>
    <w:rsid w:val="00A9740C"/>
    <w:rsid w:val="00AA00BC"/>
    <w:rsid w:val="00AA0319"/>
    <w:rsid w:val="00AA0AFF"/>
    <w:rsid w:val="00AA12E4"/>
    <w:rsid w:val="00AA143E"/>
    <w:rsid w:val="00AA14A8"/>
    <w:rsid w:val="00AA16E2"/>
    <w:rsid w:val="00AA1D75"/>
    <w:rsid w:val="00AA227E"/>
    <w:rsid w:val="00AA2644"/>
    <w:rsid w:val="00AA2B71"/>
    <w:rsid w:val="00AA2CD4"/>
    <w:rsid w:val="00AA2FCB"/>
    <w:rsid w:val="00AA34CE"/>
    <w:rsid w:val="00AA3F93"/>
    <w:rsid w:val="00AA433F"/>
    <w:rsid w:val="00AA43DF"/>
    <w:rsid w:val="00AA4637"/>
    <w:rsid w:val="00AA4F57"/>
    <w:rsid w:val="00AA5117"/>
    <w:rsid w:val="00AA56FF"/>
    <w:rsid w:val="00AA5F19"/>
    <w:rsid w:val="00AA65EB"/>
    <w:rsid w:val="00AA77B6"/>
    <w:rsid w:val="00AB00D7"/>
    <w:rsid w:val="00AB1352"/>
    <w:rsid w:val="00AB13B3"/>
    <w:rsid w:val="00AB1C75"/>
    <w:rsid w:val="00AB2B14"/>
    <w:rsid w:val="00AB33B0"/>
    <w:rsid w:val="00AB3F3C"/>
    <w:rsid w:val="00AB40E7"/>
    <w:rsid w:val="00AB4784"/>
    <w:rsid w:val="00AB49C6"/>
    <w:rsid w:val="00AB4FA1"/>
    <w:rsid w:val="00AB5041"/>
    <w:rsid w:val="00AB549A"/>
    <w:rsid w:val="00AB5A39"/>
    <w:rsid w:val="00AB5F90"/>
    <w:rsid w:val="00AB649C"/>
    <w:rsid w:val="00AB7364"/>
    <w:rsid w:val="00AB73B9"/>
    <w:rsid w:val="00AB7842"/>
    <w:rsid w:val="00AB7A8F"/>
    <w:rsid w:val="00AB7EE8"/>
    <w:rsid w:val="00AC0081"/>
    <w:rsid w:val="00AC021B"/>
    <w:rsid w:val="00AC0777"/>
    <w:rsid w:val="00AC0838"/>
    <w:rsid w:val="00AC0DE2"/>
    <w:rsid w:val="00AC2631"/>
    <w:rsid w:val="00AC27D3"/>
    <w:rsid w:val="00AC32AD"/>
    <w:rsid w:val="00AC37A5"/>
    <w:rsid w:val="00AC4415"/>
    <w:rsid w:val="00AC4E03"/>
    <w:rsid w:val="00AC5A0E"/>
    <w:rsid w:val="00AC6461"/>
    <w:rsid w:val="00AC6806"/>
    <w:rsid w:val="00AC718F"/>
    <w:rsid w:val="00AC778A"/>
    <w:rsid w:val="00AD06C3"/>
    <w:rsid w:val="00AD16CF"/>
    <w:rsid w:val="00AD1952"/>
    <w:rsid w:val="00AD1BFF"/>
    <w:rsid w:val="00AD1CFD"/>
    <w:rsid w:val="00AD2032"/>
    <w:rsid w:val="00AD34C1"/>
    <w:rsid w:val="00AD37B3"/>
    <w:rsid w:val="00AD3A8C"/>
    <w:rsid w:val="00AD3D1B"/>
    <w:rsid w:val="00AD44AA"/>
    <w:rsid w:val="00AD4565"/>
    <w:rsid w:val="00AD4B45"/>
    <w:rsid w:val="00AD4C98"/>
    <w:rsid w:val="00AD5A83"/>
    <w:rsid w:val="00AD5B9D"/>
    <w:rsid w:val="00AD6539"/>
    <w:rsid w:val="00AD6626"/>
    <w:rsid w:val="00AD6724"/>
    <w:rsid w:val="00AD7609"/>
    <w:rsid w:val="00AD7E62"/>
    <w:rsid w:val="00AE021B"/>
    <w:rsid w:val="00AE05A5"/>
    <w:rsid w:val="00AE06BA"/>
    <w:rsid w:val="00AE0ACE"/>
    <w:rsid w:val="00AE0EA9"/>
    <w:rsid w:val="00AE1023"/>
    <w:rsid w:val="00AE1EDB"/>
    <w:rsid w:val="00AE1F42"/>
    <w:rsid w:val="00AE276B"/>
    <w:rsid w:val="00AE2CC8"/>
    <w:rsid w:val="00AE2F9B"/>
    <w:rsid w:val="00AE3653"/>
    <w:rsid w:val="00AE3CEA"/>
    <w:rsid w:val="00AE4416"/>
    <w:rsid w:val="00AE49EC"/>
    <w:rsid w:val="00AE505D"/>
    <w:rsid w:val="00AE52F4"/>
    <w:rsid w:val="00AE56CC"/>
    <w:rsid w:val="00AE5D21"/>
    <w:rsid w:val="00AE7658"/>
    <w:rsid w:val="00AE7DC5"/>
    <w:rsid w:val="00AF0096"/>
    <w:rsid w:val="00AF096B"/>
    <w:rsid w:val="00AF0F7E"/>
    <w:rsid w:val="00AF323C"/>
    <w:rsid w:val="00AF355F"/>
    <w:rsid w:val="00AF3747"/>
    <w:rsid w:val="00AF3C70"/>
    <w:rsid w:val="00AF44CC"/>
    <w:rsid w:val="00AF4950"/>
    <w:rsid w:val="00AF4C92"/>
    <w:rsid w:val="00AF4CBA"/>
    <w:rsid w:val="00AF5206"/>
    <w:rsid w:val="00AF56F0"/>
    <w:rsid w:val="00AF7DB9"/>
    <w:rsid w:val="00B009A7"/>
    <w:rsid w:val="00B013F7"/>
    <w:rsid w:val="00B01735"/>
    <w:rsid w:val="00B01820"/>
    <w:rsid w:val="00B0182B"/>
    <w:rsid w:val="00B02174"/>
    <w:rsid w:val="00B025FE"/>
    <w:rsid w:val="00B02642"/>
    <w:rsid w:val="00B02885"/>
    <w:rsid w:val="00B037B6"/>
    <w:rsid w:val="00B04FF2"/>
    <w:rsid w:val="00B0570E"/>
    <w:rsid w:val="00B05746"/>
    <w:rsid w:val="00B05ED6"/>
    <w:rsid w:val="00B060CA"/>
    <w:rsid w:val="00B0625D"/>
    <w:rsid w:val="00B070AD"/>
    <w:rsid w:val="00B0791B"/>
    <w:rsid w:val="00B10907"/>
    <w:rsid w:val="00B1139E"/>
    <w:rsid w:val="00B122F0"/>
    <w:rsid w:val="00B12A81"/>
    <w:rsid w:val="00B13428"/>
    <w:rsid w:val="00B139E1"/>
    <w:rsid w:val="00B14130"/>
    <w:rsid w:val="00B1417E"/>
    <w:rsid w:val="00B148EA"/>
    <w:rsid w:val="00B14BC7"/>
    <w:rsid w:val="00B171C0"/>
    <w:rsid w:val="00B17FD9"/>
    <w:rsid w:val="00B20642"/>
    <w:rsid w:val="00B208DF"/>
    <w:rsid w:val="00B20A91"/>
    <w:rsid w:val="00B20CB0"/>
    <w:rsid w:val="00B21563"/>
    <w:rsid w:val="00B218D4"/>
    <w:rsid w:val="00B22C2B"/>
    <w:rsid w:val="00B22E6E"/>
    <w:rsid w:val="00B230B1"/>
    <w:rsid w:val="00B23375"/>
    <w:rsid w:val="00B23D11"/>
    <w:rsid w:val="00B2430D"/>
    <w:rsid w:val="00B24DDC"/>
    <w:rsid w:val="00B24E40"/>
    <w:rsid w:val="00B24E86"/>
    <w:rsid w:val="00B2527B"/>
    <w:rsid w:val="00B256B4"/>
    <w:rsid w:val="00B26223"/>
    <w:rsid w:val="00B2624F"/>
    <w:rsid w:val="00B26A4F"/>
    <w:rsid w:val="00B272EC"/>
    <w:rsid w:val="00B2750E"/>
    <w:rsid w:val="00B27583"/>
    <w:rsid w:val="00B276BC"/>
    <w:rsid w:val="00B2799B"/>
    <w:rsid w:val="00B27D85"/>
    <w:rsid w:val="00B3033C"/>
    <w:rsid w:val="00B30720"/>
    <w:rsid w:val="00B310A2"/>
    <w:rsid w:val="00B3135C"/>
    <w:rsid w:val="00B31AB9"/>
    <w:rsid w:val="00B334DA"/>
    <w:rsid w:val="00B33B9B"/>
    <w:rsid w:val="00B33C14"/>
    <w:rsid w:val="00B33DAC"/>
    <w:rsid w:val="00B33EF5"/>
    <w:rsid w:val="00B340D9"/>
    <w:rsid w:val="00B34B57"/>
    <w:rsid w:val="00B35E8D"/>
    <w:rsid w:val="00B36375"/>
    <w:rsid w:val="00B364D2"/>
    <w:rsid w:val="00B36713"/>
    <w:rsid w:val="00B40180"/>
    <w:rsid w:val="00B405FF"/>
    <w:rsid w:val="00B40871"/>
    <w:rsid w:val="00B41137"/>
    <w:rsid w:val="00B4169E"/>
    <w:rsid w:val="00B4194B"/>
    <w:rsid w:val="00B41A5B"/>
    <w:rsid w:val="00B4203D"/>
    <w:rsid w:val="00B4204B"/>
    <w:rsid w:val="00B42310"/>
    <w:rsid w:val="00B438F0"/>
    <w:rsid w:val="00B4454C"/>
    <w:rsid w:val="00B44556"/>
    <w:rsid w:val="00B45911"/>
    <w:rsid w:val="00B45A2E"/>
    <w:rsid w:val="00B46727"/>
    <w:rsid w:val="00B47212"/>
    <w:rsid w:val="00B500ED"/>
    <w:rsid w:val="00B510AC"/>
    <w:rsid w:val="00B5144C"/>
    <w:rsid w:val="00B51469"/>
    <w:rsid w:val="00B51ADE"/>
    <w:rsid w:val="00B524C4"/>
    <w:rsid w:val="00B5292C"/>
    <w:rsid w:val="00B52E93"/>
    <w:rsid w:val="00B537AB"/>
    <w:rsid w:val="00B556AF"/>
    <w:rsid w:val="00B55BC3"/>
    <w:rsid w:val="00B60A56"/>
    <w:rsid w:val="00B60AD4"/>
    <w:rsid w:val="00B614E0"/>
    <w:rsid w:val="00B616F1"/>
    <w:rsid w:val="00B61917"/>
    <w:rsid w:val="00B61951"/>
    <w:rsid w:val="00B61C54"/>
    <w:rsid w:val="00B61EB2"/>
    <w:rsid w:val="00B61F81"/>
    <w:rsid w:val="00B636D6"/>
    <w:rsid w:val="00B6481D"/>
    <w:rsid w:val="00B64850"/>
    <w:rsid w:val="00B648F9"/>
    <w:rsid w:val="00B64FF3"/>
    <w:rsid w:val="00B655EE"/>
    <w:rsid w:val="00B66006"/>
    <w:rsid w:val="00B668B0"/>
    <w:rsid w:val="00B71DE1"/>
    <w:rsid w:val="00B71E6A"/>
    <w:rsid w:val="00B72645"/>
    <w:rsid w:val="00B732D7"/>
    <w:rsid w:val="00B734EA"/>
    <w:rsid w:val="00B735F9"/>
    <w:rsid w:val="00B73D82"/>
    <w:rsid w:val="00B73E77"/>
    <w:rsid w:val="00B741AC"/>
    <w:rsid w:val="00B74D00"/>
    <w:rsid w:val="00B74DE6"/>
    <w:rsid w:val="00B74E94"/>
    <w:rsid w:val="00B759F8"/>
    <w:rsid w:val="00B75A20"/>
    <w:rsid w:val="00B75BB8"/>
    <w:rsid w:val="00B7634D"/>
    <w:rsid w:val="00B7765C"/>
    <w:rsid w:val="00B7797F"/>
    <w:rsid w:val="00B77E3E"/>
    <w:rsid w:val="00B80200"/>
    <w:rsid w:val="00B806B0"/>
    <w:rsid w:val="00B80B54"/>
    <w:rsid w:val="00B81628"/>
    <w:rsid w:val="00B81708"/>
    <w:rsid w:val="00B81726"/>
    <w:rsid w:val="00B8181C"/>
    <w:rsid w:val="00B81D01"/>
    <w:rsid w:val="00B82022"/>
    <w:rsid w:val="00B82970"/>
    <w:rsid w:val="00B82B36"/>
    <w:rsid w:val="00B831CD"/>
    <w:rsid w:val="00B833C2"/>
    <w:rsid w:val="00B83429"/>
    <w:rsid w:val="00B83579"/>
    <w:rsid w:val="00B83BF5"/>
    <w:rsid w:val="00B8448B"/>
    <w:rsid w:val="00B84B64"/>
    <w:rsid w:val="00B84B8E"/>
    <w:rsid w:val="00B8575D"/>
    <w:rsid w:val="00B85C1C"/>
    <w:rsid w:val="00B85EFD"/>
    <w:rsid w:val="00B8636D"/>
    <w:rsid w:val="00B8638A"/>
    <w:rsid w:val="00B867C4"/>
    <w:rsid w:val="00B86864"/>
    <w:rsid w:val="00B86A43"/>
    <w:rsid w:val="00B86F13"/>
    <w:rsid w:val="00B86FC1"/>
    <w:rsid w:val="00B87092"/>
    <w:rsid w:val="00B90CF5"/>
    <w:rsid w:val="00B9136F"/>
    <w:rsid w:val="00B91837"/>
    <w:rsid w:val="00B922F2"/>
    <w:rsid w:val="00B924A8"/>
    <w:rsid w:val="00B9305A"/>
    <w:rsid w:val="00B93224"/>
    <w:rsid w:val="00B934BC"/>
    <w:rsid w:val="00B93F5F"/>
    <w:rsid w:val="00B9401F"/>
    <w:rsid w:val="00B94149"/>
    <w:rsid w:val="00B9424F"/>
    <w:rsid w:val="00B9487E"/>
    <w:rsid w:val="00B95DF9"/>
    <w:rsid w:val="00B9601F"/>
    <w:rsid w:val="00B961C0"/>
    <w:rsid w:val="00B96FE7"/>
    <w:rsid w:val="00B976CE"/>
    <w:rsid w:val="00B97848"/>
    <w:rsid w:val="00BA09F2"/>
    <w:rsid w:val="00BA1BF7"/>
    <w:rsid w:val="00BA2251"/>
    <w:rsid w:val="00BA2881"/>
    <w:rsid w:val="00BA29D8"/>
    <w:rsid w:val="00BA3191"/>
    <w:rsid w:val="00BA324B"/>
    <w:rsid w:val="00BA3631"/>
    <w:rsid w:val="00BA3F88"/>
    <w:rsid w:val="00BA3FD8"/>
    <w:rsid w:val="00BA43E8"/>
    <w:rsid w:val="00BA4B52"/>
    <w:rsid w:val="00BA57CB"/>
    <w:rsid w:val="00BA5991"/>
    <w:rsid w:val="00BA6054"/>
    <w:rsid w:val="00BA626A"/>
    <w:rsid w:val="00BA64D3"/>
    <w:rsid w:val="00BA65E1"/>
    <w:rsid w:val="00BA671A"/>
    <w:rsid w:val="00BA6B66"/>
    <w:rsid w:val="00BA6F20"/>
    <w:rsid w:val="00BA6FE4"/>
    <w:rsid w:val="00BA709E"/>
    <w:rsid w:val="00BA7648"/>
    <w:rsid w:val="00BB0E15"/>
    <w:rsid w:val="00BB12FF"/>
    <w:rsid w:val="00BB16FD"/>
    <w:rsid w:val="00BB17B3"/>
    <w:rsid w:val="00BB2432"/>
    <w:rsid w:val="00BB2771"/>
    <w:rsid w:val="00BB2A12"/>
    <w:rsid w:val="00BB2D40"/>
    <w:rsid w:val="00BB39DD"/>
    <w:rsid w:val="00BB3A5A"/>
    <w:rsid w:val="00BB40F4"/>
    <w:rsid w:val="00BB49DE"/>
    <w:rsid w:val="00BB4B29"/>
    <w:rsid w:val="00BB4E7D"/>
    <w:rsid w:val="00BB5D39"/>
    <w:rsid w:val="00BB5E73"/>
    <w:rsid w:val="00BB6C27"/>
    <w:rsid w:val="00BB7246"/>
    <w:rsid w:val="00BC0CB2"/>
    <w:rsid w:val="00BC0DAD"/>
    <w:rsid w:val="00BC1482"/>
    <w:rsid w:val="00BC217E"/>
    <w:rsid w:val="00BC2572"/>
    <w:rsid w:val="00BC3892"/>
    <w:rsid w:val="00BC3C17"/>
    <w:rsid w:val="00BC4420"/>
    <w:rsid w:val="00BC4F26"/>
    <w:rsid w:val="00BC6BC4"/>
    <w:rsid w:val="00BC6CB0"/>
    <w:rsid w:val="00BC6CE3"/>
    <w:rsid w:val="00BC721D"/>
    <w:rsid w:val="00BC75F1"/>
    <w:rsid w:val="00BC7BEF"/>
    <w:rsid w:val="00BD0B02"/>
    <w:rsid w:val="00BD0E24"/>
    <w:rsid w:val="00BD10DD"/>
    <w:rsid w:val="00BD1CD6"/>
    <w:rsid w:val="00BD247F"/>
    <w:rsid w:val="00BD3735"/>
    <w:rsid w:val="00BD46AA"/>
    <w:rsid w:val="00BD4BF7"/>
    <w:rsid w:val="00BD4DB1"/>
    <w:rsid w:val="00BD67BB"/>
    <w:rsid w:val="00BD70BD"/>
    <w:rsid w:val="00BD7247"/>
    <w:rsid w:val="00BD7838"/>
    <w:rsid w:val="00BE0BF1"/>
    <w:rsid w:val="00BE1140"/>
    <w:rsid w:val="00BE13C9"/>
    <w:rsid w:val="00BE1F54"/>
    <w:rsid w:val="00BE2E78"/>
    <w:rsid w:val="00BE3208"/>
    <w:rsid w:val="00BE376B"/>
    <w:rsid w:val="00BE37C4"/>
    <w:rsid w:val="00BE420C"/>
    <w:rsid w:val="00BE5106"/>
    <w:rsid w:val="00BE583C"/>
    <w:rsid w:val="00BE6F34"/>
    <w:rsid w:val="00BE7696"/>
    <w:rsid w:val="00BE7EBA"/>
    <w:rsid w:val="00BF0270"/>
    <w:rsid w:val="00BF065E"/>
    <w:rsid w:val="00BF097B"/>
    <w:rsid w:val="00BF09FA"/>
    <w:rsid w:val="00BF1B9D"/>
    <w:rsid w:val="00BF1F2A"/>
    <w:rsid w:val="00BF238A"/>
    <w:rsid w:val="00BF3AE6"/>
    <w:rsid w:val="00BF4C07"/>
    <w:rsid w:val="00BF5428"/>
    <w:rsid w:val="00BF5432"/>
    <w:rsid w:val="00BF5C68"/>
    <w:rsid w:val="00BF5D95"/>
    <w:rsid w:val="00BF6025"/>
    <w:rsid w:val="00BF602B"/>
    <w:rsid w:val="00C00644"/>
    <w:rsid w:val="00C00922"/>
    <w:rsid w:val="00C00D73"/>
    <w:rsid w:val="00C016D5"/>
    <w:rsid w:val="00C01DFA"/>
    <w:rsid w:val="00C02105"/>
    <w:rsid w:val="00C021A0"/>
    <w:rsid w:val="00C02905"/>
    <w:rsid w:val="00C02A49"/>
    <w:rsid w:val="00C02E39"/>
    <w:rsid w:val="00C03209"/>
    <w:rsid w:val="00C03900"/>
    <w:rsid w:val="00C03D86"/>
    <w:rsid w:val="00C04E77"/>
    <w:rsid w:val="00C054D3"/>
    <w:rsid w:val="00C056C2"/>
    <w:rsid w:val="00C0670D"/>
    <w:rsid w:val="00C069A0"/>
    <w:rsid w:val="00C06BFC"/>
    <w:rsid w:val="00C070CB"/>
    <w:rsid w:val="00C07629"/>
    <w:rsid w:val="00C07651"/>
    <w:rsid w:val="00C07F53"/>
    <w:rsid w:val="00C1055B"/>
    <w:rsid w:val="00C10E1D"/>
    <w:rsid w:val="00C11684"/>
    <w:rsid w:val="00C118C4"/>
    <w:rsid w:val="00C11A2C"/>
    <w:rsid w:val="00C12311"/>
    <w:rsid w:val="00C12368"/>
    <w:rsid w:val="00C124A4"/>
    <w:rsid w:val="00C12535"/>
    <w:rsid w:val="00C125D9"/>
    <w:rsid w:val="00C12C55"/>
    <w:rsid w:val="00C1312B"/>
    <w:rsid w:val="00C14655"/>
    <w:rsid w:val="00C147F1"/>
    <w:rsid w:val="00C15FF7"/>
    <w:rsid w:val="00C17086"/>
    <w:rsid w:val="00C1748E"/>
    <w:rsid w:val="00C17523"/>
    <w:rsid w:val="00C17938"/>
    <w:rsid w:val="00C1799B"/>
    <w:rsid w:val="00C2095D"/>
    <w:rsid w:val="00C20B99"/>
    <w:rsid w:val="00C2194D"/>
    <w:rsid w:val="00C2196B"/>
    <w:rsid w:val="00C219C5"/>
    <w:rsid w:val="00C21C15"/>
    <w:rsid w:val="00C22AC0"/>
    <w:rsid w:val="00C23602"/>
    <w:rsid w:val="00C237AA"/>
    <w:rsid w:val="00C238A0"/>
    <w:rsid w:val="00C239D9"/>
    <w:rsid w:val="00C2477D"/>
    <w:rsid w:val="00C2477E"/>
    <w:rsid w:val="00C24D7B"/>
    <w:rsid w:val="00C25890"/>
    <w:rsid w:val="00C27233"/>
    <w:rsid w:val="00C277B0"/>
    <w:rsid w:val="00C31395"/>
    <w:rsid w:val="00C3146C"/>
    <w:rsid w:val="00C31C28"/>
    <w:rsid w:val="00C31E0A"/>
    <w:rsid w:val="00C31F8E"/>
    <w:rsid w:val="00C326E5"/>
    <w:rsid w:val="00C32A64"/>
    <w:rsid w:val="00C32FB1"/>
    <w:rsid w:val="00C33892"/>
    <w:rsid w:val="00C33D3D"/>
    <w:rsid w:val="00C3454B"/>
    <w:rsid w:val="00C347DC"/>
    <w:rsid w:val="00C34CB7"/>
    <w:rsid w:val="00C34E85"/>
    <w:rsid w:val="00C3558F"/>
    <w:rsid w:val="00C35B97"/>
    <w:rsid w:val="00C35F84"/>
    <w:rsid w:val="00C367B6"/>
    <w:rsid w:val="00C36EF7"/>
    <w:rsid w:val="00C37228"/>
    <w:rsid w:val="00C374FD"/>
    <w:rsid w:val="00C37BD2"/>
    <w:rsid w:val="00C418DE"/>
    <w:rsid w:val="00C41FA9"/>
    <w:rsid w:val="00C4450A"/>
    <w:rsid w:val="00C44854"/>
    <w:rsid w:val="00C44FD0"/>
    <w:rsid w:val="00C462FE"/>
    <w:rsid w:val="00C468D4"/>
    <w:rsid w:val="00C47D3A"/>
    <w:rsid w:val="00C501D1"/>
    <w:rsid w:val="00C50603"/>
    <w:rsid w:val="00C50DC7"/>
    <w:rsid w:val="00C51288"/>
    <w:rsid w:val="00C5170B"/>
    <w:rsid w:val="00C51BC5"/>
    <w:rsid w:val="00C51DE5"/>
    <w:rsid w:val="00C527FD"/>
    <w:rsid w:val="00C5293F"/>
    <w:rsid w:val="00C52A49"/>
    <w:rsid w:val="00C52B62"/>
    <w:rsid w:val="00C5311C"/>
    <w:rsid w:val="00C53398"/>
    <w:rsid w:val="00C53FCB"/>
    <w:rsid w:val="00C5497B"/>
    <w:rsid w:val="00C558B3"/>
    <w:rsid w:val="00C56B84"/>
    <w:rsid w:val="00C56D61"/>
    <w:rsid w:val="00C5710A"/>
    <w:rsid w:val="00C5724B"/>
    <w:rsid w:val="00C57E61"/>
    <w:rsid w:val="00C6048B"/>
    <w:rsid w:val="00C606B7"/>
    <w:rsid w:val="00C60716"/>
    <w:rsid w:val="00C62212"/>
    <w:rsid w:val="00C6249C"/>
    <w:rsid w:val="00C63E92"/>
    <w:rsid w:val="00C643E6"/>
    <w:rsid w:val="00C64452"/>
    <w:rsid w:val="00C64A15"/>
    <w:rsid w:val="00C64EA6"/>
    <w:rsid w:val="00C65F12"/>
    <w:rsid w:val="00C67ACF"/>
    <w:rsid w:val="00C67E7E"/>
    <w:rsid w:val="00C67EE0"/>
    <w:rsid w:val="00C67FCC"/>
    <w:rsid w:val="00C707E1"/>
    <w:rsid w:val="00C70C4D"/>
    <w:rsid w:val="00C70CDF"/>
    <w:rsid w:val="00C70FA7"/>
    <w:rsid w:val="00C71D12"/>
    <w:rsid w:val="00C71E41"/>
    <w:rsid w:val="00C71F73"/>
    <w:rsid w:val="00C7341A"/>
    <w:rsid w:val="00C74362"/>
    <w:rsid w:val="00C74B57"/>
    <w:rsid w:val="00C75134"/>
    <w:rsid w:val="00C75775"/>
    <w:rsid w:val="00C75E32"/>
    <w:rsid w:val="00C75F8B"/>
    <w:rsid w:val="00C76207"/>
    <w:rsid w:val="00C76620"/>
    <w:rsid w:val="00C76F64"/>
    <w:rsid w:val="00C773B1"/>
    <w:rsid w:val="00C775BA"/>
    <w:rsid w:val="00C7765B"/>
    <w:rsid w:val="00C77D34"/>
    <w:rsid w:val="00C77F46"/>
    <w:rsid w:val="00C80BEA"/>
    <w:rsid w:val="00C80C87"/>
    <w:rsid w:val="00C81F86"/>
    <w:rsid w:val="00C821F9"/>
    <w:rsid w:val="00C825DB"/>
    <w:rsid w:val="00C82986"/>
    <w:rsid w:val="00C82C2C"/>
    <w:rsid w:val="00C82CB1"/>
    <w:rsid w:val="00C82E72"/>
    <w:rsid w:val="00C831B1"/>
    <w:rsid w:val="00C834D7"/>
    <w:rsid w:val="00C8488C"/>
    <w:rsid w:val="00C84ED9"/>
    <w:rsid w:val="00C85038"/>
    <w:rsid w:val="00C85472"/>
    <w:rsid w:val="00C8560C"/>
    <w:rsid w:val="00C8572A"/>
    <w:rsid w:val="00C8576E"/>
    <w:rsid w:val="00C85D1B"/>
    <w:rsid w:val="00C86145"/>
    <w:rsid w:val="00C8709D"/>
    <w:rsid w:val="00C876BE"/>
    <w:rsid w:val="00C9025E"/>
    <w:rsid w:val="00C90560"/>
    <w:rsid w:val="00C90F8E"/>
    <w:rsid w:val="00C91619"/>
    <w:rsid w:val="00C916A1"/>
    <w:rsid w:val="00C919B7"/>
    <w:rsid w:val="00C91A74"/>
    <w:rsid w:val="00C929B6"/>
    <w:rsid w:val="00C92D3D"/>
    <w:rsid w:val="00C92EE2"/>
    <w:rsid w:val="00C935EB"/>
    <w:rsid w:val="00C93968"/>
    <w:rsid w:val="00C9443E"/>
    <w:rsid w:val="00C945D1"/>
    <w:rsid w:val="00C95665"/>
    <w:rsid w:val="00C95810"/>
    <w:rsid w:val="00C9656D"/>
    <w:rsid w:val="00C96A85"/>
    <w:rsid w:val="00C97203"/>
    <w:rsid w:val="00CA008B"/>
    <w:rsid w:val="00CA0467"/>
    <w:rsid w:val="00CA071C"/>
    <w:rsid w:val="00CA083F"/>
    <w:rsid w:val="00CA1118"/>
    <w:rsid w:val="00CA1BBE"/>
    <w:rsid w:val="00CA1D73"/>
    <w:rsid w:val="00CA2A55"/>
    <w:rsid w:val="00CA2EA7"/>
    <w:rsid w:val="00CA2FD7"/>
    <w:rsid w:val="00CA32BE"/>
    <w:rsid w:val="00CA3DC0"/>
    <w:rsid w:val="00CA48AE"/>
    <w:rsid w:val="00CA4F46"/>
    <w:rsid w:val="00CA5D0C"/>
    <w:rsid w:val="00CA61E9"/>
    <w:rsid w:val="00CA68AE"/>
    <w:rsid w:val="00CA6AB0"/>
    <w:rsid w:val="00CA6D39"/>
    <w:rsid w:val="00CA7199"/>
    <w:rsid w:val="00CA7223"/>
    <w:rsid w:val="00CA79A4"/>
    <w:rsid w:val="00CB0094"/>
    <w:rsid w:val="00CB0F8B"/>
    <w:rsid w:val="00CB116C"/>
    <w:rsid w:val="00CB1343"/>
    <w:rsid w:val="00CB13F9"/>
    <w:rsid w:val="00CB1507"/>
    <w:rsid w:val="00CB1665"/>
    <w:rsid w:val="00CB2403"/>
    <w:rsid w:val="00CB24A5"/>
    <w:rsid w:val="00CB2724"/>
    <w:rsid w:val="00CB2913"/>
    <w:rsid w:val="00CB294A"/>
    <w:rsid w:val="00CB2BDE"/>
    <w:rsid w:val="00CB2FBA"/>
    <w:rsid w:val="00CB39D8"/>
    <w:rsid w:val="00CB3A88"/>
    <w:rsid w:val="00CB3D61"/>
    <w:rsid w:val="00CB409A"/>
    <w:rsid w:val="00CB432D"/>
    <w:rsid w:val="00CB4777"/>
    <w:rsid w:val="00CB5A68"/>
    <w:rsid w:val="00CB6437"/>
    <w:rsid w:val="00CB6574"/>
    <w:rsid w:val="00CB67E7"/>
    <w:rsid w:val="00CB6BA2"/>
    <w:rsid w:val="00CB7B61"/>
    <w:rsid w:val="00CC0D49"/>
    <w:rsid w:val="00CC0D7F"/>
    <w:rsid w:val="00CC1628"/>
    <w:rsid w:val="00CC1A07"/>
    <w:rsid w:val="00CC1A77"/>
    <w:rsid w:val="00CC1CAC"/>
    <w:rsid w:val="00CC1E15"/>
    <w:rsid w:val="00CC2491"/>
    <w:rsid w:val="00CC2816"/>
    <w:rsid w:val="00CC2B9F"/>
    <w:rsid w:val="00CC2E94"/>
    <w:rsid w:val="00CC3075"/>
    <w:rsid w:val="00CC3B21"/>
    <w:rsid w:val="00CC561C"/>
    <w:rsid w:val="00CC61ED"/>
    <w:rsid w:val="00CC64BA"/>
    <w:rsid w:val="00CC6E04"/>
    <w:rsid w:val="00CC768E"/>
    <w:rsid w:val="00CD0DD6"/>
    <w:rsid w:val="00CD10B0"/>
    <w:rsid w:val="00CD1CE9"/>
    <w:rsid w:val="00CD2ACD"/>
    <w:rsid w:val="00CD2C46"/>
    <w:rsid w:val="00CD30DB"/>
    <w:rsid w:val="00CD355F"/>
    <w:rsid w:val="00CD3768"/>
    <w:rsid w:val="00CD387D"/>
    <w:rsid w:val="00CD3EE6"/>
    <w:rsid w:val="00CD406E"/>
    <w:rsid w:val="00CD4D44"/>
    <w:rsid w:val="00CD4E4C"/>
    <w:rsid w:val="00CD54F7"/>
    <w:rsid w:val="00CD5699"/>
    <w:rsid w:val="00CD5F8E"/>
    <w:rsid w:val="00CD5FC8"/>
    <w:rsid w:val="00CD68BD"/>
    <w:rsid w:val="00CD6BD1"/>
    <w:rsid w:val="00CD70C5"/>
    <w:rsid w:val="00CE0482"/>
    <w:rsid w:val="00CE0AF4"/>
    <w:rsid w:val="00CE0D5C"/>
    <w:rsid w:val="00CE0D64"/>
    <w:rsid w:val="00CE0EB9"/>
    <w:rsid w:val="00CE11FF"/>
    <w:rsid w:val="00CE1577"/>
    <w:rsid w:val="00CE227F"/>
    <w:rsid w:val="00CE24E2"/>
    <w:rsid w:val="00CE2E9B"/>
    <w:rsid w:val="00CE3947"/>
    <w:rsid w:val="00CE3BAA"/>
    <w:rsid w:val="00CE3E59"/>
    <w:rsid w:val="00CE4CBD"/>
    <w:rsid w:val="00CE5103"/>
    <w:rsid w:val="00CE5514"/>
    <w:rsid w:val="00CE593A"/>
    <w:rsid w:val="00CE59EA"/>
    <w:rsid w:val="00CE5AEC"/>
    <w:rsid w:val="00CE7077"/>
    <w:rsid w:val="00CE7918"/>
    <w:rsid w:val="00CE7AC3"/>
    <w:rsid w:val="00CE7F5D"/>
    <w:rsid w:val="00CF0DC6"/>
    <w:rsid w:val="00CF0DD3"/>
    <w:rsid w:val="00CF1849"/>
    <w:rsid w:val="00CF2EA4"/>
    <w:rsid w:val="00CF36D7"/>
    <w:rsid w:val="00CF3D8A"/>
    <w:rsid w:val="00CF4614"/>
    <w:rsid w:val="00CF4A51"/>
    <w:rsid w:val="00CF4D5C"/>
    <w:rsid w:val="00CF5462"/>
    <w:rsid w:val="00CF5A25"/>
    <w:rsid w:val="00CF5CD8"/>
    <w:rsid w:val="00CF5D3A"/>
    <w:rsid w:val="00CF5EC9"/>
    <w:rsid w:val="00CF6C99"/>
    <w:rsid w:val="00CF6E9A"/>
    <w:rsid w:val="00CF776E"/>
    <w:rsid w:val="00D00172"/>
    <w:rsid w:val="00D00BFF"/>
    <w:rsid w:val="00D01319"/>
    <w:rsid w:val="00D02189"/>
    <w:rsid w:val="00D029D4"/>
    <w:rsid w:val="00D0332F"/>
    <w:rsid w:val="00D0405D"/>
    <w:rsid w:val="00D04786"/>
    <w:rsid w:val="00D05B2C"/>
    <w:rsid w:val="00D10CAC"/>
    <w:rsid w:val="00D1149D"/>
    <w:rsid w:val="00D11546"/>
    <w:rsid w:val="00D1175A"/>
    <w:rsid w:val="00D11B00"/>
    <w:rsid w:val="00D11BF8"/>
    <w:rsid w:val="00D11F79"/>
    <w:rsid w:val="00D129DE"/>
    <w:rsid w:val="00D141EA"/>
    <w:rsid w:val="00D14480"/>
    <w:rsid w:val="00D148AC"/>
    <w:rsid w:val="00D14DB9"/>
    <w:rsid w:val="00D154CE"/>
    <w:rsid w:val="00D16194"/>
    <w:rsid w:val="00D16C34"/>
    <w:rsid w:val="00D174E0"/>
    <w:rsid w:val="00D17A05"/>
    <w:rsid w:val="00D206B8"/>
    <w:rsid w:val="00D20780"/>
    <w:rsid w:val="00D21403"/>
    <w:rsid w:val="00D223D0"/>
    <w:rsid w:val="00D22BD7"/>
    <w:rsid w:val="00D2373B"/>
    <w:rsid w:val="00D23884"/>
    <w:rsid w:val="00D23AE5"/>
    <w:rsid w:val="00D23D30"/>
    <w:rsid w:val="00D24F5F"/>
    <w:rsid w:val="00D250E4"/>
    <w:rsid w:val="00D2533E"/>
    <w:rsid w:val="00D25B52"/>
    <w:rsid w:val="00D267AB"/>
    <w:rsid w:val="00D26D9B"/>
    <w:rsid w:val="00D26FA4"/>
    <w:rsid w:val="00D2758B"/>
    <w:rsid w:val="00D27F01"/>
    <w:rsid w:val="00D30B5C"/>
    <w:rsid w:val="00D30C04"/>
    <w:rsid w:val="00D311DB"/>
    <w:rsid w:val="00D3420B"/>
    <w:rsid w:val="00D34C80"/>
    <w:rsid w:val="00D35BD1"/>
    <w:rsid w:val="00D35C04"/>
    <w:rsid w:val="00D360E2"/>
    <w:rsid w:val="00D3610F"/>
    <w:rsid w:val="00D36317"/>
    <w:rsid w:val="00D36354"/>
    <w:rsid w:val="00D36BC3"/>
    <w:rsid w:val="00D37614"/>
    <w:rsid w:val="00D37B4E"/>
    <w:rsid w:val="00D40E42"/>
    <w:rsid w:val="00D40F53"/>
    <w:rsid w:val="00D4102A"/>
    <w:rsid w:val="00D414DE"/>
    <w:rsid w:val="00D42655"/>
    <w:rsid w:val="00D42DB0"/>
    <w:rsid w:val="00D430C6"/>
    <w:rsid w:val="00D447F6"/>
    <w:rsid w:val="00D4584D"/>
    <w:rsid w:val="00D45E1C"/>
    <w:rsid w:val="00D4687C"/>
    <w:rsid w:val="00D46AD9"/>
    <w:rsid w:val="00D4701E"/>
    <w:rsid w:val="00D509A8"/>
    <w:rsid w:val="00D512AB"/>
    <w:rsid w:val="00D51C2C"/>
    <w:rsid w:val="00D51E7B"/>
    <w:rsid w:val="00D51F67"/>
    <w:rsid w:val="00D523F1"/>
    <w:rsid w:val="00D52486"/>
    <w:rsid w:val="00D52B57"/>
    <w:rsid w:val="00D52CB8"/>
    <w:rsid w:val="00D536B0"/>
    <w:rsid w:val="00D540B6"/>
    <w:rsid w:val="00D54754"/>
    <w:rsid w:val="00D54B8B"/>
    <w:rsid w:val="00D54E20"/>
    <w:rsid w:val="00D553EF"/>
    <w:rsid w:val="00D556C9"/>
    <w:rsid w:val="00D556E0"/>
    <w:rsid w:val="00D556F2"/>
    <w:rsid w:val="00D5595F"/>
    <w:rsid w:val="00D567FB"/>
    <w:rsid w:val="00D571CA"/>
    <w:rsid w:val="00D57365"/>
    <w:rsid w:val="00D57E3F"/>
    <w:rsid w:val="00D57E7D"/>
    <w:rsid w:val="00D57EA6"/>
    <w:rsid w:val="00D57EB8"/>
    <w:rsid w:val="00D602B8"/>
    <w:rsid w:val="00D604F6"/>
    <w:rsid w:val="00D60AB2"/>
    <w:rsid w:val="00D61A96"/>
    <w:rsid w:val="00D61E40"/>
    <w:rsid w:val="00D61EA8"/>
    <w:rsid w:val="00D634CE"/>
    <w:rsid w:val="00D654D1"/>
    <w:rsid w:val="00D65A77"/>
    <w:rsid w:val="00D65D78"/>
    <w:rsid w:val="00D66E45"/>
    <w:rsid w:val="00D70893"/>
    <w:rsid w:val="00D71645"/>
    <w:rsid w:val="00D7166F"/>
    <w:rsid w:val="00D71EF1"/>
    <w:rsid w:val="00D7278F"/>
    <w:rsid w:val="00D7292F"/>
    <w:rsid w:val="00D72D1D"/>
    <w:rsid w:val="00D73500"/>
    <w:rsid w:val="00D73AC6"/>
    <w:rsid w:val="00D73B85"/>
    <w:rsid w:val="00D74069"/>
    <w:rsid w:val="00D74B29"/>
    <w:rsid w:val="00D74C4F"/>
    <w:rsid w:val="00D75348"/>
    <w:rsid w:val="00D756B1"/>
    <w:rsid w:val="00D76DF9"/>
    <w:rsid w:val="00D76EB2"/>
    <w:rsid w:val="00D76EEE"/>
    <w:rsid w:val="00D7701E"/>
    <w:rsid w:val="00D7722A"/>
    <w:rsid w:val="00D773EB"/>
    <w:rsid w:val="00D7774F"/>
    <w:rsid w:val="00D810BA"/>
    <w:rsid w:val="00D81CEB"/>
    <w:rsid w:val="00D822D7"/>
    <w:rsid w:val="00D82687"/>
    <w:rsid w:val="00D82A6C"/>
    <w:rsid w:val="00D82BF7"/>
    <w:rsid w:val="00D82D99"/>
    <w:rsid w:val="00D82E78"/>
    <w:rsid w:val="00D82E83"/>
    <w:rsid w:val="00D8377D"/>
    <w:rsid w:val="00D838DA"/>
    <w:rsid w:val="00D8447A"/>
    <w:rsid w:val="00D8474A"/>
    <w:rsid w:val="00D84E63"/>
    <w:rsid w:val="00D859EA"/>
    <w:rsid w:val="00D86786"/>
    <w:rsid w:val="00D87164"/>
    <w:rsid w:val="00D902DB"/>
    <w:rsid w:val="00D91A7E"/>
    <w:rsid w:val="00D925EB"/>
    <w:rsid w:val="00D926DC"/>
    <w:rsid w:val="00D93733"/>
    <w:rsid w:val="00D93E4E"/>
    <w:rsid w:val="00D94148"/>
    <w:rsid w:val="00D94A9C"/>
    <w:rsid w:val="00D94F2C"/>
    <w:rsid w:val="00D95903"/>
    <w:rsid w:val="00D96543"/>
    <w:rsid w:val="00D9655D"/>
    <w:rsid w:val="00D96B36"/>
    <w:rsid w:val="00D96FEA"/>
    <w:rsid w:val="00D97428"/>
    <w:rsid w:val="00D97E71"/>
    <w:rsid w:val="00DA09E1"/>
    <w:rsid w:val="00DA148E"/>
    <w:rsid w:val="00DA2089"/>
    <w:rsid w:val="00DA211A"/>
    <w:rsid w:val="00DA2301"/>
    <w:rsid w:val="00DA27F8"/>
    <w:rsid w:val="00DA2812"/>
    <w:rsid w:val="00DA3255"/>
    <w:rsid w:val="00DA46ED"/>
    <w:rsid w:val="00DA4783"/>
    <w:rsid w:val="00DA48F6"/>
    <w:rsid w:val="00DA4E52"/>
    <w:rsid w:val="00DA56BD"/>
    <w:rsid w:val="00DA6066"/>
    <w:rsid w:val="00DA63D0"/>
    <w:rsid w:val="00DA7596"/>
    <w:rsid w:val="00DA7A92"/>
    <w:rsid w:val="00DA7BD0"/>
    <w:rsid w:val="00DA7D67"/>
    <w:rsid w:val="00DB0477"/>
    <w:rsid w:val="00DB0AE5"/>
    <w:rsid w:val="00DB0C0B"/>
    <w:rsid w:val="00DB0FBA"/>
    <w:rsid w:val="00DB1323"/>
    <w:rsid w:val="00DB1E11"/>
    <w:rsid w:val="00DB2604"/>
    <w:rsid w:val="00DB6054"/>
    <w:rsid w:val="00DB671C"/>
    <w:rsid w:val="00DB6950"/>
    <w:rsid w:val="00DB6CED"/>
    <w:rsid w:val="00DB7544"/>
    <w:rsid w:val="00DB760B"/>
    <w:rsid w:val="00DB7BC9"/>
    <w:rsid w:val="00DC04DB"/>
    <w:rsid w:val="00DC05BB"/>
    <w:rsid w:val="00DC0F06"/>
    <w:rsid w:val="00DC1261"/>
    <w:rsid w:val="00DC12B3"/>
    <w:rsid w:val="00DC188D"/>
    <w:rsid w:val="00DC1957"/>
    <w:rsid w:val="00DC2192"/>
    <w:rsid w:val="00DC2242"/>
    <w:rsid w:val="00DC23EA"/>
    <w:rsid w:val="00DC2F26"/>
    <w:rsid w:val="00DC3011"/>
    <w:rsid w:val="00DC3D56"/>
    <w:rsid w:val="00DC497D"/>
    <w:rsid w:val="00DC4D6C"/>
    <w:rsid w:val="00DC5228"/>
    <w:rsid w:val="00DC5C27"/>
    <w:rsid w:val="00DC600C"/>
    <w:rsid w:val="00DC764C"/>
    <w:rsid w:val="00DC76B0"/>
    <w:rsid w:val="00DD020A"/>
    <w:rsid w:val="00DD08BD"/>
    <w:rsid w:val="00DD09D5"/>
    <w:rsid w:val="00DD0F89"/>
    <w:rsid w:val="00DD17E3"/>
    <w:rsid w:val="00DD1B3E"/>
    <w:rsid w:val="00DD1EAB"/>
    <w:rsid w:val="00DD1F11"/>
    <w:rsid w:val="00DD2220"/>
    <w:rsid w:val="00DD2A02"/>
    <w:rsid w:val="00DD2CA2"/>
    <w:rsid w:val="00DD2DA6"/>
    <w:rsid w:val="00DD3358"/>
    <w:rsid w:val="00DD474F"/>
    <w:rsid w:val="00DD4FF5"/>
    <w:rsid w:val="00DD50FB"/>
    <w:rsid w:val="00DD58F6"/>
    <w:rsid w:val="00DD5961"/>
    <w:rsid w:val="00DD5AFD"/>
    <w:rsid w:val="00DD6277"/>
    <w:rsid w:val="00DD68D4"/>
    <w:rsid w:val="00DD6BEB"/>
    <w:rsid w:val="00DD751C"/>
    <w:rsid w:val="00DD7A78"/>
    <w:rsid w:val="00DE11DF"/>
    <w:rsid w:val="00DE161D"/>
    <w:rsid w:val="00DE3332"/>
    <w:rsid w:val="00DE3632"/>
    <w:rsid w:val="00DE3E92"/>
    <w:rsid w:val="00DE4403"/>
    <w:rsid w:val="00DE46E0"/>
    <w:rsid w:val="00DE4B3E"/>
    <w:rsid w:val="00DE4DFC"/>
    <w:rsid w:val="00DE519F"/>
    <w:rsid w:val="00DE520D"/>
    <w:rsid w:val="00DE55FD"/>
    <w:rsid w:val="00DE5D8D"/>
    <w:rsid w:val="00DE701F"/>
    <w:rsid w:val="00DE7239"/>
    <w:rsid w:val="00DE72E2"/>
    <w:rsid w:val="00DE736C"/>
    <w:rsid w:val="00DE737E"/>
    <w:rsid w:val="00DE7809"/>
    <w:rsid w:val="00DE7818"/>
    <w:rsid w:val="00DE794C"/>
    <w:rsid w:val="00DF0D0F"/>
    <w:rsid w:val="00DF2349"/>
    <w:rsid w:val="00DF27E0"/>
    <w:rsid w:val="00DF2D87"/>
    <w:rsid w:val="00DF2EDE"/>
    <w:rsid w:val="00DF3202"/>
    <w:rsid w:val="00DF38FB"/>
    <w:rsid w:val="00DF3B01"/>
    <w:rsid w:val="00DF4314"/>
    <w:rsid w:val="00DF5406"/>
    <w:rsid w:val="00DF6064"/>
    <w:rsid w:val="00DF6C5B"/>
    <w:rsid w:val="00DF6D7C"/>
    <w:rsid w:val="00DF745A"/>
    <w:rsid w:val="00DF7AFD"/>
    <w:rsid w:val="00DF7FA0"/>
    <w:rsid w:val="00E01934"/>
    <w:rsid w:val="00E02A01"/>
    <w:rsid w:val="00E02F89"/>
    <w:rsid w:val="00E04B24"/>
    <w:rsid w:val="00E04E81"/>
    <w:rsid w:val="00E05266"/>
    <w:rsid w:val="00E055DE"/>
    <w:rsid w:val="00E0594C"/>
    <w:rsid w:val="00E05AE2"/>
    <w:rsid w:val="00E05E6F"/>
    <w:rsid w:val="00E075BD"/>
    <w:rsid w:val="00E07A14"/>
    <w:rsid w:val="00E1210D"/>
    <w:rsid w:val="00E127C3"/>
    <w:rsid w:val="00E12A64"/>
    <w:rsid w:val="00E12C4B"/>
    <w:rsid w:val="00E13E95"/>
    <w:rsid w:val="00E13F7E"/>
    <w:rsid w:val="00E15123"/>
    <w:rsid w:val="00E1514C"/>
    <w:rsid w:val="00E161AA"/>
    <w:rsid w:val="00E1728D"/>
    <w:rsid w:val="00E17613"/>
    <w:rsid w:val="00E20ABA"/>
    <w:rsid w:val="00E20DB4"/>
    <w:rsid w:val="00E20E5A"/>
    <w:rsid w:val="00E2147B"/>
    <w:rsid w:val="00E21666"/>
    <w:rsid w:val="00E218E5"/>
    <w:rsid w:val="00E21E63"/>
    <w:rsid w:val="00E22B71"/>
    <w:rsid w:val="00E22BB7"/>
    <w:rsid w:val="00E22C07"/>
    <w:rsid w:val="00E22E3A"/>
    <w:rsid w:val="00E22FC7"/>
    <w:rsid w:val="00E2352B"/>
    <w:rsid w:val="00E24262"/>
    <w:rsid w:val="00E24B3B"/>
    <w:rsid w:val="00E2595F"/>
    <w:rsid w:val="00E25B3F"/>
    <w:rsid w:val="00E25B98"/>
    <w:rsid w:val="00E26100"/>
    <w:rsid w:val="00E27118"/>
    <w:rsid w:val="00E27903"/>
    <w:rsid w:val="00E27A52"/>
    <w:rsid w:val="00E27E66"/>
    <w:rsid w:val="00E27E82"/>
    <w:rsid w:val="00E30031"/>
    <w:rsid w:val="00E30495"/>
    <w:rsid w:val="00E30D3E"/>
    <w:rsid w:val="00E31240"/>
    <w:rsid w:val="00E316F1"/>
    <w:rsid w:val="00E31FD5"/>
    <w:rsid w:val="00E328CE"/>
    <w:rsid w:val="00E3363B"/>
    <w:rsid w:val="00E3382E"/>
    <w:rsid w:val="00E33B2D"/>
    <w:rsid w:val="00E33D0D"/>
    <w:rsid w:val="00E33F07"/>
    <w:rsid w:val="00E345E1"/>
    <w:rsid w:val="00E354E1"/>
    <w:rsid w:val="00E372A4"/>
    <w:rsid w:val="00E37B32"/>
    <w:rsid w:val="00E37BE2"/>
    <w:rsid w:val="00E416D8"/>
    <w:rsid w:val="00E41B22"/>
    <w:rsid w:val="00E42552"/>
    <w:rsid w:val="00E425F1"/>
    <w:rsid w:val="00E42AEE"/>
    <w:rsid w:val="00E433B8"/>
    <w:rsid w:val="00E433D8"/>
    <w:rsid w:val="00E437F8"/>
    <w:rsid w:val="00E443DF"/>
    <w:rsid w:val="00E452D7"/>
    <w:rsid w:val="00E45523"/>
    <w:rsid w:val="00E455DC"/>
    <w:rsid w:val="00E45973"/>
    <w:rsid w:val="00E45B55"/>
    <w:rsid w:val="00E45C34"/>
    <w:rsid w:val="00E45C6E"/>
    <w:rsid w:val="00E45F95"/>
    <w:rsid w:val="00E467EA"/>
    <w:rsid w:val="00E46BF1"/>
    <w:rsid w:val="00E46C94"/>
    <w:rsid w:val="00E47DC8"/>
    <w:rsid w:val="00E50201"/>
    <w:rsid w:val="00E509D7"/>
    <w:rsid w:val="00E51FB4"/>
    <w:rsid w:val="00E529A6"/>
    <w:rsid w:val="00E5324F"/>
    <w:rsid w:val="00E53BA8"/>
    <w:rsid w:val="00E5404B"/>
    <w:rsid w:val="00E542A4"/>
    <w:rsid w:val="00E544E8"/>
    <w:rsid w:val="00E54ED1"/>
    <w:rsid w:val="00E5530F"/>
    <w:rsid w:val="00E55B1F"/>
    <w:rsid w:val="00E55F7B"/>
    <w:rsid w:val="00E561D8"/>
    <w:rsid w:val="00E568B7"/>
    <w:rsid w:val="00E56BE2"/>
    <w:rsid w:val="00E57831"/>
    <w:rsid w:val="00E605D3"/>
    <w:rsid w:val="00E60B4D"/>
    <w:rsid w:val="00E61640"/>
    <w:rsid w:val="00E625C0"/>
    <w:rsid w:val="00E62BEE"/>
    <w:rsid w:val="00E62F89"/>
    <w:rsid w:val="00E636C5"/>
    <w:rsid w:val="00E6440E"/>
    <w:rsid w:val="00E646C1"/>
    <w:rsid w:val="00E64C01"/>
    <w:rsid w:val="00E64C1D"/>
    <w:rsid w:val="00E64E92"/>
    <w:rsid w:val="00E6526F"/>
    <w:rsid w:val="00E652CA"/>
    <w:rsid w:val="00E65970"/>
    <w:rsid w:val="00E659C0"/>
    <w:rsid w:val="00E65A42"/>
    <w:rsid w:val="00E65B3E"/>
    <w:rsid w:val="00E65BF2"/>
    <w:rsid w:val="00E669F1"/>
    <w:rsid w:val="00E67301"/>
    <w:rsid w:val="00E67E77"/>
    <w:rsid w:val="00E70043"/>
    <w:rsid w:val="00E70628"/>
    <w:rsid w:val="00E70975"/>
    <w:rsid w:val="00E71AFC"/>
    <w:rsid w:val="00E72196"/>
    <w:rsid w:val="00E73363"/>
    <w:rsid w:val="00E7561A"/>
    <w:rsid w:val="00E756A7"/>
    <w:rsid w:val="00E75C00"/>
    <w:rsid w:val="00E75E5D"/>
    <w:rsid w:val="00E75F21"/>
    <w:rsid w:val="00E761EA"/>
    <w:rsid w:val="00E76555"/>
    <w:rsid w:val="00E76A15"/>
    <w:rsid w:val="00E76D76"/>
    <w:rsid w:val="00E76DFC"/>
    <w:rsid w:val="00E76F81"/>
    <w:rsid w:val="00E777E5"/>
    <w:rsid w:val="00E802CE"/>
    <w:rsid w:val="00E823BA"/>
    <w:rsid w:val="00E8369A"/>
    <w:rsid w:val="00E83DFE"/>
    <w:rsid w:val="00E83F6A"/>
    <w:rsid w:val="00E8411F"/>
    <w:rsid w:val="00E842A7"/>
    <w:rsid w:val="00E84891"/>
    <w:rsid w:val="00E84E54"/>
    <w:rsid w:val="00E85004"/>
    <w:rsid w:val="00E8507D"/>
    <w:rsid w:val="00E8594D"/>
    <w:rsid w:val="00E85BCF"/>
    <w:rsid w:val="00E85F7C"/>
    <w:rsid w:val="00E8602F"/>
    <w:rsid w:val="00E8740E"/>
    <w:rsid w:val="00E9092C"/>
    <w:rsid w:val="00E9105D"/>
    <w:rsid w:val="00E91A7A"/>
    <w:rsid w:val="00E91E79"/>
    <w:rsid w:val="00E923F0"/>
    <w:rsid w:val="00E93059"/>
    <w:rsid w:val="00E93089"/>
    <w:rsid w:val="00E94284"/>
    <w:rsid w:val="00E94492"/>
    <w:rsid w:val="00E94850"/>
    <w:rsid w:val="00E95475"/>
    <w:rsid w:val="00E95A49"/>
    <w:rsid w:val="00E96086"/>
    <w:rsid w:val="00E96137"/>
    <w:rsid w:val="00E9643F"/>
    <w:rsid w:val="00E96926"/>
    <w:rsid w:val="00E96FAC"/>
    <w:rsid w:val="00E97715"/>
    <w:rsid w:val="00E97835"/>
    <w:rsid w:val="00EA02DB"/>
    <w:rsid w:val="00EA06A1"/>
    <w:rsid w:val="00EA085C"/>
    <w:rsid w:val="00EA0B87"/>
    <w:rsid w:val="00EA132D"/>
    <w:rsid w:val="00EA24CC"/>
    <w:rsid w:val="00EA3273"/>
    <w:rsid w:val="00EA33AD"/>
    <w:rsid w:val="00EA38F5"/>
    <w:rsid w:val="00EA39DD"/>
    <w:rsid w:val="00EA3B0C"/>
    <w:rsid w:val="00EA3DF9"/>
    <w:rsid w:val="00EA4984"/>
    <w:rsid w:val="00EA4B78"/>
    <w:rsid w:val="00EA4FCC"/>
    <w:rsid w:val="00EA5A23"/>
    <w:rsid w:val="00EA7423"/>
    <w:rsid w:val="00EA772B"/>
    <w:rsid w:val="00EB0D25"/>
    <w:rsid w:val="00EB0F92"/>
    <w:rsid w:val="00EB11F1"/>
    <w:rsid w:val="00EB16DD"/>
    <w:rsid w:val="00EB178F"/>
    <w:rsid w:val="00EB195B"/>
    <w:rsid w:val="00EB1CD5"/>
    <w:rsid w:val="00EB2815"/>
    <w:rsid w:val="00EB2969"/>
    <w:rsid w:val="00EB3C00"/>
    <w:rsid w:val="00EB4059"/>
    <w:rsid w:val="00EB4623"/>
    <w:rsid w:val="00EB4A8F"/>
    <w:rsid w:val="00EB4B9A"/>
    <w:rsid w:val="00EB4CCF"/>
    <w:rsid w:val="00EB57EB"/>
    <w:rsid w:val="00EB591D"/>
    <w:rsid w:val="00EB6097"/>
    <w:rsid w:val="00EB610F"/>
    <w:rsid w:val="00EB6786"/>
    <w:rsid w:val="00EB6800"/>
    <w:rsid w:val="00EB69E1"/>
    <w:rsid w:val="00EB7241"/>
    <w:rsid w:val="00EB7382"/>
    <w:rsid w:val="00EB758B"/>
    <w:rsid w:val="00EB75FD"/>
    <w:rsid w:val="00EB7D39"/>
    <w:rsid w:val="00EC041C"/>
    <w:rsid w:val="00EC1129"/>
    <w:rsid w:val="00EC17AB"/>
    <w:rsid w:val="00EC1917"/>
    <w:rsid w:val="00EC2688"/>
    <w:rsid w:val="00EC2F49"/>
    <w:rsid w:val="00EC3572"/>
    <w:rsid w:val="00EC449A"/>
    <w:rsid w:val="00EC5125"/>
    <w:rsid w:val="00EC60A2"/>
    <w:rsid w:val="00EC662D"/>
    <w:rsid w:val="00EC7342"/>
    <w:rsid w:val="00EC756B"/>
    <w:rsid w:val="00EC7FF3"/>
    <w:rsid w:val="00ED0792"/>
    <w:rsid w:val="00ED138A"/>
    <w:rsid w:val="00ED1472"/>
    <w:rsid w:val="00ED16B4"/>
    <w:rsid w:val="00ED19B3"/>
    <w:rsid w:val="00ED2FB4"/>
    <w:rsid w:val="00ED3A51"/>
    <w:rsid w:val="00ED3AC6"/>
    <w:rsid w:val="00ED3CEC"/>
    <w:rsid w:val="00ED463E"/>
    <w:rsid w:val="00ED53E7"/>
    <w:rsid w:val="00ED5956"/>
    <w:rsid w:val="00ED6751"/>
    <w:rsid w:val="00ED6D20"/>
    <w:rsid w:val="00ED6F2F"/>
    <w:rsid w:val="00EE110F"/>
    <w:rsid w:val="00EE1549"/>
    <w:rsid w:val="00EE1EFB"/>
    <w:rsid w:val="00EE254C"/>
    <w:rsid w:val="00EE29C2"/>
    <w:rsid w:val="00EE3163"/>
    <w:rsid w:val="00EE35A5"/>
    <w:rsid w:val="00EE46FA"/>
    <w:rsid w:val="00EE47F5"/>
    <w:rsid w:val="00EE4AF9"/>
    <w:rsid w:val="00EE5D8F"/>
    <w:rsid w:val="00EE5F5E"/>
    <w:rsid w:val="00EE6045"/>
    <w:rsid w:val="00EE6071"/>
    <w:rsid w:val="00EE7A13"/>
    <w:rsid w:val="00EF0357"/>
    <w:rsid w:val="00EF13A9"/>
    <w:rsid w:val="00EF1CBA"/>
    <w:rsid w:val="00EF1DE2"/>
    <w:rsid w:val="00EF20C4"/>
    <w:rsid w:val="00EF21FD"/>
    <w:rsid w:val="00EF2EF6"/>
    <w:rsid w:val="00EF436A"/>
    <w:rsid w:val="00EF45F9"/>
    <w:rsid w:val="00EF55E9"/>
    <w:rsid w:val="00EF5678"/>
    <w:rsid w:val="00EF59DD"/>
    <w:rsid w:val="00EF5CAD"/>
    <w:rsid w:val="00EF5DC4"/>
    <w:rsid w:val="00EF5DE0"/>
    <w:rsid w:val="00EF6441"/>
    <w:rsid w:val="00EF6EE0"/>
    <w:rsid w:val="00EF77B2"/>
    <w:rsid w:val="00EF7DCA"/>
    <w:rsid w:val="00F0096C"/>
    <w:rsid w:val="00F02098"/>
    <w:rsid w:val="00F046E5"/>
    <w:rsid w:val="00F06203"/>
    <w:rsid w:val="00F06F36"/>
    <w:rsid w:val="00F0784B"/>
    <w:rsid w:val="00F10244"/>
    <w:rsid w:val="00F10B90"/>
    <w:rsid w:val="00F10F7C"/>
    <w:rsid w:val="00F112C3"/>
    <w:rsid w:val="00F112CF"/>
    <w:rsid w:val="00F11F58"/>
    <w:rsid w:val="00F11FFA"/>
    <w:rsid w:val="00F1269B"/>
    <w:rsid w:val="00F126D9"/>
    <w:rsid w:val="00F127F4"/>
    <w:rsid w:val="00F133D9"/>
    <w:rsid w:val="00F13EE0"/>
    <w:rsid w:val="00F1482C"/>
    <w:rsid w:val="00F148B6"/>
    <w:rsid w:val="00F153F5"/>
    <w:rsid w:val="00F1568D"/>
    <w:rsid w:val="00F15ADB"/>
    <w:rsid w:val="00F15DD0"/>
    <w:rsid w:val="00F163B6"/>
    <w:rsid w:val="00F164CA"/>
    <w:rsid w:val="00F167F1"/>
    <w:rsid w:val="00F1698F"/>
    <w:rsid w:val="00F17AE9"/>
    <w:rsid w:val="00F2004F"/>
    <w:rsid w:val="00F206D2"/>
    <w:rsid w:val="00F20B77"/>
    <w:rsid w:val="00F226F7"/>
    <w:rsid w:val="00F2276E"/>
    <w:rsid w:val="00F2335A"/>
    <w:rsid w:val="00F235D6"/>
    <w:rsid w:val="00F23841"/>
    <w:rsid w:val="00F250E8"/>
    <w:rsid w:val="00F257A8"/>
    <w:rsid w:val="00F25BEE"/>
    <w:rsid w:val="00F25C65"/>
    <w:rsid w:val="00F25C8F"/>
    <w:rsid w:val="00F25D06"/>
    <w:rsid w:val="00F2603E"/>
    <w:rsid w:val="00F26787"/>
    <w:rsid w:val="00F26B51"/>
    <w:rsid w:val="00F27FDD"/>
    <w:rsid w:val="00F3028D"/>
    <w:rsid w:val="00F3029D"/>
    <w:rsid w:val="00F30938"/>
    <w:rsid w:val="00F30D98"/>
    <w:rsid w:val="00F32682"/>
    <w:rsid w:val="00F32879"/>
    <w:rsid w:val="00F32D02"/>
    <w:rsid w:val="00F33003"/>
    <w:rsid w:val="00F331C0"/>
    <w:rsid w:val="00F33487"/>
    <w:rsid w:val="00F33531"/>
    <w:rsid w:val="00F33FDD"/>
    <w:rsid w:val="00F34610"/>
    <w:rsid w:val="00F34FA3"/>
    <w:rsid w:val="00F35170"/>
    <w:rsid w:val="00F35CC1"/>
    <w:rsid w:val="00F36212"/>
    <w:rsid w:val="00F37417"/>
    <w:rsid w:val="00F375F8"/>
    <w:rsid w:val="00F37761"/>
    <w:rsid w:val="00F40298"/>
    <w:rsid w:val="00F4104D"/>
    <w:rsid w:val="00F413E4"/>
    <w:rsid w:val="00F426C3"/>
    <w:rsid w:val="00F4298E"/>
    <w:rsid w:val="00F42A97"/>
    <w:rsid w:val="00F42B43"/>
    <w:rsid w:val="00F4317A"/>
    <w:rsid w:val="00F431D4"/>
    <w:rsid w:val="00F43330"/>
    <w:rsid w:val="00F440D3"/>
    <w:rsid w:val="00F440EF"/>
    <w:rsid w:val="00F45DF8"/>
    <w:rsid w:val="00F45E71"/>
    <w:rsid w:val="00F462F1"/>
    <w:rsid w:val="00F465D5"/>
    <w:rsid w:val="00F46BEB"/>
    <w:rsid w:val="00F47041"/>
    <w:rsid w:val="00F473B5"/>
    <w:rsid w:val="00F474AC"/>
    <w:rsid w:val="00F4760F"/>
    <w:rsid w:val="00F47690"/>
    <w:rsid w:val="00F50273"/>
    <w:rsid w:val="00F502A5"/>
    <w:rsid w:val="00F505C0"/>
    <w:rsid w:val="00F506F8"/>
    <w:rsid w:val="00F5085B"/>
    <w:rsid w:val="00F50ECB"/>
    <w:rsid w:val="00F51F9D"/>
    <w:rsid w:val="00F52231"/>
    <w:rsid w:val="00F52CF4"/>
    <w:rsid w:val="00F53519"/>
    <w:rsid w:val="00F53BC7"/>
    <w:rsid w:val="00F55098"/>
    <w:rsid w:val="00F554F4"/>
    <w:rsid w:val="00F55568"/>
    <w:rsid w:val="00F555D0"/>
    <w:rsid w:val="00F55DBE"/>
    <w:rsid w:val="00F56028"/>
    <w:rsid w:val="00F5649B"/>
    <w:rsid w:val="00F564EC"/>
    <w:rsid w:val="00F56510"/>
    <w:rsid w:val="00F57550"/>
    <w:rsid w:val="00F57816"/>
    <w:rsid w:val="00F57CB7"/>
    <w:rsid w:val="00F60061"/>
    <w:rsid w:val="00F60682"/>
    <w:rsid w:val="00F6165C"/>
    <w:rsid w:val="00F61B06"/>
    <w:rsid w:val="00F62804"/>
    <w:rsid w:val="00F63266"/>
    <w:rsid w:val="00F66351"/>
    <w:rsid w:val="00F6675A"/>
    <w:rsid w:val="00F671E7"/>
    <w:rsid w:val="00F673A6"/>
    <w:rsid w:val="00F67AAA"/>
    <w:rsid w:val="00F67ED3"/>
    <w:rsid w:val="00F70714"/>
    <w:rsid w:val="00F70B90"/>
    <w:rsid w:val="00F70E6D"/>
    <w:rsid w:val="00F7111C"/>
    <w:rsid w:val="00F71147"/>
    <w:rsid w:val="00F7115D"/>
    <w:rsid w:val="00F71A6F"/>
    <w:rsid w:val="00F74432"/>
    <w:rsid w:val="00F746C8"/>
    <w:rsid w:val="00F7486F"/>
    <w:rsid w:val="00F749DF"/>
    <w:rsid w:val="00F74FC8"/>
    <w:rsid w:val="00F762B1"/>
    <w:rsid w:val="00F77677"/>
    <w:rsid w:val="00F77C40"/>
    <w:rsid w:val="00F77C7A"/>
    <w:rsid w:val="00F77DB0"/>
    <w:rsid w:val="00F80EEF"/>
    <w:rsid w:val="00F82032"/>
    <w:rsid w:val="00F822D0"/>
    <w:rsid w:val="00F825AB"/>
    <w:rsid w:val="00F8262A"/>
    <w:rsid w:val="00F82684"/>
    <w:rsid w:val="00F82A19"/>
    <w:rsid w:val="00F82FA4"/>
    <w:rsid w:val="00F838A2"/>
    <w:rsid w:val="00F846FA"/>
    <w:rsid w:val="00F84A70"/>
    <w:rsid w:val="00F84A9D"/>
    <w:rsid w:val="00F85991"/>
    <w:rsid w:val="00F85FC8"/>
    <w:rsid w:val="00F86B38"/>
    <w:rsid w:val="00F87D3E"/>
    <w:rsid w:val="00F90E61"/>
    <w:rsid w:val="00F91FDF"/>
    <w:rsid w:val="00F9275E"/>
    <w:rsid w:val="00F9374C"/>
    <w:rsid w:val="00F93DB7"/>
    <w:rsid w:val="00F94B93"/>
    <w:rsid w:val="00F94C58"/>
    <w:rsid w:val="00F94CA2"/>
    <w:rsid w:val="00F959DB"/>
    <w:rsid w:val="00F96602"/>
    <w:rsid w:val="00F96D73"/>
    <w:rsid w:val="00F97888"/>
    <w:rsid w:val="00FA0048"/>
    <w:rsid w:val="00FA0096"/>
    <w:rsid w:val="00FA1840"/>
    <w:rsid w:val="00FA1D12"/>
    <w:rsid w:val="00FA215D"/>
    <w:rsid w:val="00FA2796"/>
    <w:rsid w:val="00FA2FB5"/>
    <w:rsid w:val="00FA308A"/>
    <w:rsid w:val="00FA30C0"/>
    <w:rsid w:val="00FA33B8"/>
    <w:rsid w:val="00FA33F9"/>
    <w:rsid w:val="00FA3738"/>
    <w:rsid w:val="00FA3757"/>
    <w:rsid w:val="00FA48BE"/>
    <w:rsid w:val="00FA4F56"/>
    <w:rsid w:val="00FA54E9"/>
    <w:rsid w:val="00FA5ACD"/>
    <w:rsid w:val="00FA616B"/>
    <w:rsid w:val="00FA70F3"/>
    <w:rsid w:val="00FA73B6"/>
    <w:rsid w:val="00FA7836"/>
    <w:rsid w:val="00FA78BF"/>
    <w:rsid w:val="00FA7D0B"/>
    <w:rsid w:val="00FB0987"/>
    <w:rsid w:val="00FB0FBA"/>
    <w:rsid w:val="00FB103D"/>
    <w:rsid w:val="00FB19B3"/>
    <w:rsid w:val="00FB1A81"/>
    <w:rsid w:val="00FB2757"/>
    <w:rsid w:val="00FB38B5"/>
    <w:rsid w:val="00FB3C8C"/>
    <w:rsid w:val="00FB4542"/>
    <w:rsid w:val="00FB48E6"/>
    <w:rsid w:val="00FB5588"/>
    <w:rsid w:val="00FB56CD"/>
    <w:rsid w:val="00FB5A9F"/>
    <w:rsid w:val="00FB5C26"/>
    <w:rsid w:val="00FB5D6D"/>
    <w:rsid w:val="00FB5D76"/>
    <w:rsid w:val="00FB69E2"/>
    <w:rsid w:val="00FB7343"/>
    <w:rsid w:val="00FB747B"/>
    <w:rsid w:val="00FB7EC6"/>
    <w:rsid w:val="00FC076B"/>
    <w:rsid w:val="00FC0AAA"/>
    <w:rsid w:val="00FC1AA3"/>
    <w:rsid w:val="00FC1B3B"/>
    <w:rsid w:val="00FC1BBF"/>
    <w:rsid w:val="00FC1C82"/>
    <w:rsid w:val="00FC1ED0"/>
    <w:rsid w:val="00FC235D"/>
    <w:rsid w:val="00FC25DD"/>
    <w:rsid w:val="00FC27E3"/>
    <w:rsid w:val="00FC2E0E"/>
    <w:rsid w:val="00FC2E83"/>
    <w:rsid w:val="00FC44C8"/>
    <w:rsid w:val="00FC48B5"/>
    <w:rsid w:val="00FC4A7D"/>
    <w:rsid w:val="00FC5645"/>
    <w:rsid w:val="00FC5D43"/>
    <w:rsid w:val="00FC6296"/>
    <w:rsid w:val="00FC6EA1"/>
    <w:rsid w:val="00FC710F"/>
    <w:rsid w:val="00FC7794"/>
    <w:rsid w:val="00FC7E3B"/>
    <w:rsid w:val="00FD00DA"/>
    <w:rsid w:val="00FD055D"/>
    <w:rsid w:val="00FD09EE"/>
    <w:rsid w:val="00FD10B6"/>
    <w:rsid w:val="00FD168C"/>
    <w:rsid w:val="00FD1978"/>
    <w:rsid w:val="00FD1C93"/>
    <w:rsid w:val="00FD1CE9"/>
    <w:rsid w:val="00FD2194"/>
    <w:rsid w:val="00FD230D"/>
    <w:rsid w:val="00FD2511"/>
    <w:rsid w:val="00FD2530"/>
    <w:rsid w:val="00FD3130"/>
    <w:rsid w:val="00FD3D13"/>
    <w:rsid w:val="00FD474D"/>
    <w:rsid w:val="00FD4CDA"/>
    <w:rsid w:val="00FD5238"/>
    <w:rsid w:val="00FD59AF"/>
    <w:rsid w:val="00FD59CC"/>
    <w:rsid w:val="00FD62C9"/>
    <w:rsid w:val="00FD77EA"/>
    <w:rsid w:val="00FD79B1"/>
    <w:rsid w:val="00FD7B8A"/>
    <w:rsid w:val="00FE01BA"/>
    <w:rsid w:val="00FE0281"/>
    <w:rsid w:val="00FE03A8"/>
    <w:rsid w:val="00FE07E3"/>
    <w:rsid w:val="00FE09A4"/>
    <w:rsid w:val="00FE0CA4"/>
    <w:rsid w:val="00FE0FA5"/>
    <w:rsid w:val="00FE10A9"/>
    <w:rsid w:val="00FE2A65"/>
    <w:rsid w:val="00FE2A70"/>
    <w:rsid w:val="00FE2CEA"/>
    <w:rsid w:val="00FE30D9"/>
    <w:rsid w:val="00FE3612"/>
    <w:rsid w:val="00FE3B2E"/>
    <w:rsid w:val="00FE3B38"/>
    <w:rsid w:val="00FE46D9"/>
    <w:rsid w:val="00FE4DCA"/>
    <w:rsid w:val="00FE5D7C"/>
    <w:rsid w:val="00FE625C"/>
    <w:rsid w:val="00FE65E1"/>
    <w:rsid w:val="00FF0B4A"/>
    <w:rsid w:val="00FF0F26"/>
    <w:rsid w:val="00FF1283"/>
    <w:rsid w:val="00FF15EE"/>
    <w:rsid w:val="00FF1B4D"/>
    <w:rsid w:val="00FF25A1"/>
    <w:rsid w:val="00FF2698"/>
    <w:rsid w:val="00FF3165"/>
    <w:rsid w:val="00FF337E"/>
    <w:rsid w:val="00FF33B7"/>
    <w:rsid w:val="00FF4446"/>
    <w:rsid w:val="00FF4B24"/>
    <w:rsid w:val="00FF5BB0"/>
    <w:rsid w:val="00FF5C60"/>
    <w:rsid w:val="00FF5E87"/>
    <w:rsid w:val="00FF69E7"/>
    <w:rsid w:val="00FF6D6A"/>
    <w:rsid w:val="00FF780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5"/>
  </w:style>
  <w:style w:type="paragraph" w:styleId="Ttulo1">
    <w:name w:val="heading 1"/>
    <w:basedOn w:val="Normal"/>
    <w:next w:val="Normal"/>
    <w:link w:val="Ttulo1Car"/>
    <w:uiPriority w:val="9"/>
    <w:qFormat/>
    <w:rsid w:val="00936EA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tulo2">
    <w:name w:val="heading 2"/>
    <w:basedOn w:val="Normal"/>
    <w:next w:val="Normal"/>
    <w:link w:val="Ttulo2Car"/>
    <w:uiPriority w:val="9"/>
    <w:unhideWhenUsed/>
    <w:qFormat/>
    <w:rsid w:val="00936EAE"/>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Ttulo3">
    <w:name w:val="heading 3"/>
    <w:basedOn w:val="Normal"/>
    <w:next w:val="Normal"/>
    <w:link w:val="Ttulo3Car"/>
    <w:uiPriority w:val="9"/>
    <w:unhideWhenUsed/>
    <w:qFormat/>
    <w:rsid w:val="004B1FCB"/>
    <w:pPr>
      <w:keepNext/>
      <w:keepLines/>
      <w:spacing w:before="200" w:after="0"/>
      <w:outlineLvl w:val="2"/>
    </w:pPr>
    <w:rPr>
      <w:rFonts w:asciiTheme="majorHAnsi" w:eastAsiaTheme="majorEastAsia" w:hAnsiTheme="majorHAnsi" w:cstheme="majorBidi"/>
      <w:b/>
      <w:bCs/>
      <w:color w:val="CEB966" w:themeColor="accent1"/>
    </w:rPr>
  </w:style>
  <w:style w:type="paragraph" w:styleId="Ttulo4">
    <w:name w:val="heading 4"/>
    <w:basedOn w:val="Normal"/>
    <w:next w:val="Normal"/>
    <w:link w:val="Ttulo4Car"/>
    <w:uiPriority w:val="9"/>
    <w:unhideWhenUsed/>
    <w:qFormat/>
    <w:rsid w:val="00E02F89"/>
    <w:pPr>
      <w:keepNext/>
      <w:keepLines/>
      <w:spacing w:before="200" w:after="0"/>
      <w:outlineLvl w:val="3"/>
    </w:pPr>
    <w:rPr>
      <w:rFonts w:asciiTheme="majorHAnsi" w:eastAsiaTheme="majorEastAsia" w:hAnsiTheme="majorHAnsi" w:cstheme="majorBidi"/>
      <w:b/>
      <w:bCs/>
      <w:i/>
      <w:iCs/>
      <w:color w:val="CEB966" w:themeColor="accent1"/>
    </w:rPr>
  </w:style>
  <w:style w:type="paragraph" w:styleId="Ttulo5">
    <w:name w:val="heading 5"/>
    <w:basedOn w:val="Normal"/>
    <w:next w:val="Normal"/>
    <w:link w:val="Ttulo5Car"/>
    <w:uiPriority w:val="9"/>
    <w:semiHidden/>
    <w:unhideWhenUsed/>
    <w:qFormat/>
    <w:rsid w:val="00C5293F"/>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36EAE"/>
    <w:rPr>
      <w:rFonts w:asciiTheme="majorHAnsi" w:eastAsiaTheme="majorEastAsia" w:hAnsiTheme="majorHAnsi" w:cstheme="majorBidi"/>
      <w:b/>
      <w:bCs/>
      <w:color w:val="AE9638" w:themeColor="accent1" w:themeShade="BF"/>
      <w:sz w:val="28"/>
      <w:szCs w:val="28"/>
    </w:rPr>
  </w:style>
  <w:style w:type="character" w:customStyle="1" w:styleId="Ttulo2Car">
    <w:name w:val="Título 2 Car"/>
    <w:basedOn w:val="Fuentedeprrafopredeter"/>
    <w:link w:val="Ttulo2"/>
    <w:uiPriority w:val="9"/>
    <w:qFormat/>
    <w:rsid w:val="00936EAE"/>
    <w:rPr>
      <w:rFonts w:asciiTheme="majorHAnsi" w:eastAsiaTheme="majorEastAsia" w:hAnsiTheme="majorHAnsi" w:cstheme="majorBidi"/>
      <w:b/>
      <w:bCs/>
      <w:color w:val="CEB966" w:themeColor="accent1"/>
      <w:sz w:val="26"/>
      <w:szCs w:val="26"/>
    </w:rPr>
  </w:style>
  <w:style w:type="character" w:customStyle="1" w:styleId="Ttulo3Car">
    <w:name w:val="Título 3 Car"/>
    <w:basedOn w:val="Fuentedeprrafopredeter"/>
    <w:link w:val="Ttulo3"/>
    <w:uiPriority w:val="9"/>
    <w:qFormat/>
    <w:rsid w:val="004B1FCB"/>
    <w:rPr>
      <w:rFonts w:asciiTheme="majorHAnsi" w:eastAsiaTheme="majorEastAsia" w:hAnsiTheme="majorHAnsi" w:cstheme="majorBidi"/>
      <w:b/>
      <w:bCs/>
      <w:color w:val="CEB966" w:themeColor="accent1"/>
    </w:rPr>
  </w:style>
  <w:style w:type="character" w:customStyle="1" w:styleId="Ttulo4Car">
    <w:name w:val="Título 4 Car"/>
    <w:basedOn w:val="Fuentedeprrafopredeter"/>
    <w:link w:val="Ttulo4"/>
    <w:uiPriority w:val="9"/>
    <w:qFormat/>
    <w:rsid w:val="00E02F89"/>
    <w:rPr>
      <w:rFonts w:asciiTheme="majorHAnsi" w:eastAsiaTheme="majorEastAsia" w:hAnsiTheme="majorHAnsi" w:cstheme="majorBidi"/>
      <w:b/>
      <w:bCs/>
      <w:i/>
      <w:iCs/>
      <w:color w:val="CEB966" w:themeColor="accent1"/>
    </w:rPr>
  </w:style>
  <w:style w:type="character" w:customStyle="1" w:styleId="Ttulo5Car">
    <w:name w:val="Título 5 Car"/>
    <w:basedOn w:val="Fuentedeprrafopredeter"/>
    <w:link w:val="Ttulo5"/>
    <w:uiPriority w:val="9"/>
    <w:semiHidden/>
    <w:rsid w:val="00C5293F"/>
    <w:rPr>
      <w:rFonts w:asciiTheme="majorHAnsi" w:eastAsiaTheme="majorEastAsia" w:hAnsiTheme="majorHAnsi" w:cstheme="majorBidi"/>
      <w:color w:val="746325" w:themeColor="accent1" w:themeShade="7F"/>
    </w:rPr>
  </w:style>
  <w:style w:type="paragraph" w:styleId="Textonotapie">
    <w:name w:val="footnote text"/>
    <w:aliases w:val="fn,footnote text, Car6,Footnote reference,FA Fu,Footnote Text Char Char Char Char Char,Footnote Text Char Char Char Char,Footnote Text Char Char Char,Texto nota pie kund, Car"/>
    <w:basedOn w:val="Normal"/>
    <w:link w:val="TextonotapieCar"/>
    <w:uiPriority w:val="99"/>
    <w:unhideWhenUsed/>
    <w:qFormat/>
    <w:rsid w:val="002C6E55"/>
    <w:pPr>
      <w:spacing w:after="0" w:line="240" w:lineRule="auto"/>
    </w:pPr>
    <w:rPr>
      <w:sz w:val="20"/>
      <w:szCs w:val="20"/>
    </w:rPr>
  </w:style>
  <w:style w:type="character" w:customStyle="1" w:styleId="TextonotapieCar">
    <w:name w:val="Texto nota pie Car"/>
    <w:aliases w:val="fn Car,footnote text Car, Car6 Car,Footnote reference Car,FA Fu Car,Footnote Text Char Char Char Char Char Car,Footnote Text Char Char Char Char Car,Footnote Text Char Char Char Car,Texto nota pie kund Car, Car Car"/>
    <w:basedOn w:val="Fuentedeprrafopredeter"/>
    <w:link w:val="Textonotapie"/>
    <w:uiPriority w:val="99"/>
    <w:qFormat/>
    <w:rsid w:val="002C6E55"/>
    <w:rPr>
      <w:sz w:val="20"/>
      <w:szCs w:val="20"/>
    </w:rPr>
  </w:style>
  <w:style w:type="character" w:styleId="Refdenotaalpie">
    <w:name w:val="footnote reference"/>
    <w:aliases w:val="FC"/>
    <w:uiPriority w:val="99"/>
    <w:rsid w:val="002C6E55"/>
    <w:rPr>
      <w:vertAlign w:val="superscript"/>
    </w:rPr>
  </w:style>
  <w:style w:type="paragraph" w:styleId="Textocomentario">
    <w:name w:val="annotation text"/>
    <w:basedOn w:val="Normal"/>
    <w:link w:val="TextocomentarioCar"/>
    <w:uiPriority w:val="99"/>
    <w:unhideWhenUsed/>
    <w:qFormat/>
    <w:rsid w:val="00846EA4"/>
    <w:pPr>
      <w:widowControl w:val="0"/>
      <w:spacing w:after="0" w:line="240" w:lineRule="auto"/>
    </w:pPr>
    <w:rPr>
      <w:rFonts w:ascii="Courier" w:eastAsia="Times New Roman" w:hAnsi="Courier" w:cs="Times New Roman"/>
      <w:sz w:val="20"/>
      <w:szCs w:val="20"/>
      <w:lang w:eastAsia="es-ES"/>
    </w:rPr>
  </w:style>
  <w:style w:type="character" w:customStyle="1" w:styleId="TextocomentarioCar">
    <w:name w:val="Texto comentario Car"/>
    <w:basedOn w:val="Fuentedeprrafopredeter"/>
    <w:link w:val="Textocomentario"/>
    <w:uiPriority w:val="99"/>
    <w:qFormat/>
    <w:rsid w:val="00846EA4"/>
    <w:rPr>
      <w:rFonts w:ascii="Courier" w:eastAsia="Times New Roman" w:hAnsi="Courier" w:cs="Times New Roman"/>
      <w:sz w:val="20"/>
      <w:szCs w:val="20"/>
      <w:lang w:eastAsia="es-ES"/>
    </w:rPr>
  </w:style>
  <w:style w:type="character" w:styleId="Refdecomentario">
    <w:name w:val="annotation reference"/>
    <w:uiPriority w:val="99"/>
    <w:semiHidden/>
    <w:unhideWhenUsed/>
    <w:qFormat/>
    <w:rsid w:val="00846EA4"/>
    <w:rPr>
      <w:sz w:val="16"/>
    </w:rPr>
  </w:style>
  <w:style w:type="paragraph" w:styleId="Textodeglobo">
    <w:name w:val="Balloon Text"/>
    <w:basedOn w:val="Normal"/>
    <w:link w:val="TextodegloboCar"/>
    <w:uiPriority w:val="99"/>
    <w:semiHidden/>
    <w:unhideWhenUsed/>
    <w:qFormat/>
    <w:rsid w:val="00846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846E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qFormat/>
    <w:rsid w:val="00111FA5"/>
    <w:pPr>
      <w:widowControl/>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qFormat/>
    <w:rsid w:val="00111FA5"/>
    <w:rPr>
      <w:rFonts w:ascii="Courier" w:eastAsia="Times New Roman" w:hAnsi="Courier" w:cs="Times New Roman"/>
      <w:b/>
      <w:bCs/>
      <w:sz w:val="20"/>
      <w:szCs w:val="20"/>
      <w:lang w:eastAsia="es-ES"/>
    </w:rPr>
  </w:style>
  <w:style w:type="paragraph" w:styleId="Prrafodelista">
    <w:name w:val="List Paragraph"/>
    <w:basedOn w:val="Normal"/>
    <w:uiPriority w:val="34"/>
    <w:qFormat/>
    <w:rsid w:val="004262CF"/>
    <w:pPr>
      <w:ind w:left="720"/>
      <w:contextualSpacing/>
    </w:pPr>
  </w:style>
  <w:style w:type="paragraph" w:styleId="Sinespaciado">
    <w:name w:val="No Spacing"/>
    <w:link w:val="SinespaciadoCar"/>
    <w:uiPriority w:val="1"/>
    <w:qFormat/>
    <w:rsid w:val="00E85BCF"/>
    <w:pPr>
      <w:spacing w:after="0" w:line="240" w:lineRule="auto"/>
    </w:pPr>
    <w:rPr>
      <w:lang w:val="es-ES"/>
    </w:rPr>
  </w:style>
  <w:style w:type="character" w:customStyle="1" w:styleId="SinespaciadoCar">
    <w:name w:val="Sin espaciado Car"/>
    <w:basedOn w:val="Fuentedeprrafopredeter"/>
    <w:link w:val="Sinespaciado"/>
    <w:uiPriority w:val="1"/>
    <w:qFormat/>
    <w:rsid w:val="009C352D"/>
    <w:rPr>
      <w:lang w:val="es-ES"/>
    </w:rPr>
  </w:style>
  <w:style w:type="character" w:styleId="Hipervnculo">
    <w:name w:val="Hyperlink"/>
    <w:basedOn w:val="Fuentedeprrafopredeter"/>
    <w:uiPriority w:val="99"/>
    <w:unhideWhenUsed/>
    <w:rsid w:val="00B5292C"/>
    <w:rPr>
      <w:color w:val="410082" w:themeColor="hyperlink"/>
      <w:u w:val="single"/>
    </w:rPr>
  </w:style>
  <w:style w:type="paragraph" w:styleId="Encabezado">
    <w:name w:val="header"/>
    <w:basedOn w:val="Normal"/>
    <w:link w:val="EncabezadoCar"/>
    <w:uiPriority w:val="99"/>
    <w:unhideWhenUsed/>
    <w:rsid w:val="00E24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E24B3B"/>
  </w:style>
  <w:style w:type="paragraph" w:styleId="Piedepgina">
    <w:name w:val="footer"/>
    <w:basedOn w:val="Normal"/>
    <w:link w:val="PiedepginaCar"/>
    <w:uiPriority w:val="99"/>
    <w:unhideWhenUsed/>
    <w:rsid w:val="00E24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E24B3B"/>
  </w:style>
  <w:style w:type="paragraph" w:styleId="Ttulo">
    <w:name w:val="Title"/>
    <w:basedOn w:val="Normal"/>
    <w:next w:val="Normal"/>
    <w:link w:val="TtuloCar"/>
    <w:qFormat/>
    <w:rsid w:val="00936EAE"/>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tuloCar">
    <w:name w:val="Título Car"/>
    <w:basedOn w:val="Fuentedeprrafopredeter"/>
    <w:link w:val="Ttulo"/>
    <w:rsid w:val="00936EAE"/>
    <w:rPr>
      <w:rFonts w:asciiTheme="majorHAnsi" w:eastAsiaTheme="majorEastAsia" w:hAnsiTheme="majorHAnsi" w:cstheme="majorBidi"/>
      <w:color w:val="4E4D51" w:themeColor="text2" w:themeShade="BF"/>
      <w:spacing w:val="5"/>
      <w:kern w:val="28"/>
      <w:sz w:val="52"/>
      <w:szCs w:val="52"/>
    </w:rPr>
  </w:style>
  <w:style w:type="paragraph" w:styleId="Subttulo">
    <w:name w:val="Subtitle"/>
    <w:basedOn w:val="Normal"/>
    <w:next w:val="Normal"/>
    <w:link w:val="SubttuloCar"/>
    <w:uiPriority w:val="11"/>
    <w:qFormat/>
    <w:rsid w:val="00936EAE"/>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ubttuloCar">
    <w:name w:val="Subtítulo Car"/>
    <w:basedOn w:val="Fuentedeprrafopredeter"/>
    <w:link w:val="Subttulo"/>
    <w:uiPriority w:val="11"/>
    <w:rsid w:val="00936EAE"/>
    <w:rPr>
      <w:rFonts w:asciiTheme="majorHAnsi" w:eastAsiaTheme="majorEastAsia" w:hAnsiTheme="majorHAnsi" w:cstheme="majorBidi"/>
      <w:i/>
      <w:iCs/>
      <w:color w:val="CEB966" w:themeColor="accent1"/>
      <w:spacing w:val="15"/>
      <w:sz w:val="24"/>
      <w:szCs w:val="24"/>
    </w:rPr>
  </w:style>
  <w:style w:type="paragraph" w:styleId="Cita">
    <w:name w:val="Quote"/>
    <w:basedOn w:val="Normal"/>
    <w:next w:val="Normal"/>
    <w:link w:val="CitaCar"/>
    <w:uiPriority w:val="29"/>
    <w:qFormat/>
    <w:rsid w:val="000A33F1"/>
    <w:rPr>
      <w:i/>
      <w:iCs/>
      <w:color w:val="000000" w:themeColor="text1"/>
    </w:rPr>
  </w:style>
  <w:style w:type="character" w:customStyle="1" w:styleId="CitaCar">
    <w:name w:val="Cita Car"/>
    <w:basedOn w:val="Fuentedeprrafopredeter"/>
    <w:link w:val="Cita"/>
    <w:uiPriority w:val="29"/>
    <w:rsid w:val="000A33F1"/>
    <w:rPr>
      <w:i/>
      <w:iCs/>
      <w:color w:val="000000" w:themeColor="text1"/>
    </w:rPr>
  </w:style>
  <w:style w:type="character" w:styleId="nfasis">
    <w:name w:val="Emphasis"/>
    <w:basedOn w:val="Fuentedeprrafopredeter"/>
    <w:uiPriority w:val="20"/>
    <w:qFormat/>
    <w:rsid w:val="00BF5428"/>
    <w:rPr>
      <w:i/>
      <w:iCs/>
    </w:rPr>
  </w:style>
  <w:style w:type="character" w:customStyle="1" w:styleId="selectable">
    <w:name w:val="selectable"/>
    <w:basedOn w:val="Fuentedeprrafopredeter"/>
    <w:rsid w:val="00971B30"/>
  </w:style>
  <w:style w:type="character" w:customStyle="1" w:styleId="Smbolodenotaalpie">
    <w:name w:val="Símbolo de nota al pie"/>
    <w:rsid w:val="004B1FCB"/>
    <w:rPr>
      <w:vertAlign w:val="superscript"/>
    </w:rPr>
  </w:style>
  <w:style w:type="character" w:styleId="Hipervnculovisitado">
    <w:name w:val="FollowedHyperlink"/>
    <w:basedOn w:val="Fuentedeprrafopredeter"/>
    <w:uiPriority w:val="99"/>
    <w:semiHidden/>
    <w:unhideWhenUsed/>
    <w:qFormat/>
    <w:rsid w:val="002C1F4B"/>
    <w:rPr>
      <w:color w:val="932968" w:themeColor="followedHyperlink"/>
      <w:u w:val="single"/>
    </w:rPr>
  </w:style>
  <w:style w:type="paragraph" w:styleId="Textonotaalfinal">
    <w:name w:val="endnote text"/>
    <w:basedOn w:val="Normal"/>
    <w:link w:val="TextonotaalfinalCar"/>
    <w:uiPriority w:val="99"/>
    <w:unhideWhenUsed/>
    <w:rsid w:val="00A25F13"/>
    <w:pPr>
      <w:spacing w:after="0" w:line="240" w:lineRule="auto"/>
    </w:pPr>
    <w:rPr>
      <w:sz w:val="20"/>
      <w:szCs w:val="20"/>
    </w:rPr>
  </w:style>
  <w:style w:type="character" w:customStyle="1" w:styleId="TextonotaalfinalCar">
    <w:name w:val="Texto nota al final Car"/>
    <w:basedOn w:val="Fuentedeprrafopredeter"/>
    <w:link w:val="Textonotaalfinal"/>
    <w:uiPriority w:val="99"/>
    <w:qFormat/>
    <w:rsid w:val="00A25F13"/>
    <w:rPr>
      <w:sz w:val="20"/>
      <w:szCs w:val="20"/>
    </w:rPr>
  </w:style>
  <w:style w:type="character" w:styleId="Refdenotaalfinal">
    <w:name w:val="endnote reference"/>
    <w:basedOn w:val="Fuentedeprrafopredeter"/>
    <w:uiPriority w:val="99"/>
    <w:semiHidden/>
    <w:unhideWhenUsed/>
    <w:rsid w:val="00A25F13"/>
    <w:rPr>
      <w:vertAlign w:val="superscript"/>
    </w:rPr>
  </w:style>
  <w:style w:type="character" w:customStyle="1" w:styleId="apple-converted-space">
    <w:name w:val="apple-converted-space"/>
    <w:basedOn w:val="Fuentedeprrafopredeter"/>
    <w:qFormat/>
    <w:rsid w:val="00803F00"/>
  </w:style>
  <w:style w:type="character" w:customStyle="1" w:styleId="st">
    <w:name w:val="st"/>
    <w:basedOn w:val="Fuentedeprrafopredeter"/>
    <w:rsid w:val="00DB6950"/>
  </w:style>
  <w:style w:type="paragraph" w:customStyle="1" w:styleId="Listavistosa-nfasis11">
    <w:name w:val="Lista vistosa - Énfasis 11"/>
    <w:basedOn w:val="Normal"/>
    <w:uiPriority w:val="34"/>
    <w:qFormat/>
    <w:rsid w:val="00C03D86"/>
    <w:pPr>
      <w:ind w:left="720"/>
      <w:contextualSpacing/>
    </w:pPr>
    <w:rPr>
      <w:rFonts w:ascii="Calibri" w:eastAsia="Calibri" w:hAnsi="Calibri" w:cs="Times New Roman"/>
      <w:lang w:val="es-MX"/>
    </w:rPr>
  </w:style>
  <w:style w:type="paragraph" w:customStyle="1" w:styleId="Normal1">
    <w:name w:val="Normal1"/>
    <w:rsid w:val="00C03D86"/>
    <w:pPr>
      <w:spacing w:after="0" w:line="240" w:lineRule="auto"/>
    </w:pPr>
    <w:rPr>
      <w:rFonts w:ascii="Cambria" w:eastAsia="Cambria" w:hAnsi="Cambria" w:cs="Cambria"/>
      <w:color w:val="000000"/>
      <w:sz w:val="24"/>
      <w:szCs w:val="24"/>
      <w:lang w:eastAsia="es-ES"/>
    </w:rPr>
  </w:style>
  <w:style w:type="paragraph" w:customStyle="1" w:styleId="Default">
    <w:name w:val="Default"/>
    <w:qFormat/>
    <w:rsid w:val="00F167F1"/>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character" w:customStyle="1" w:styleId="Ttulodelibro">
    <w:name w:val="Título de libro"/>
    <w:uiPriority w:val="33"/>
    <w:qFormat/>
    <w:rsid w:val="00B91837"/>
    <w:rPr>
      <w:b/>
      <w:bCs/>
      <w:i/>
      <w:iCs/>
      <w:spacing w:val="5"/>
    </w:rPr>
  </w:style>
  <w:style w:type="paragraph" w:styleId="Textosinformato">
    <w:name w:val="Plain Text"/>
    <w:basedOn w:val="Normal"/>
    <w:link w:val="TextosinformatoCar"/>
    <w:uiPriority w:val="99"/>
    <w:unhideWhenUsed/>
    <w:rsid w:val="00286DCF"/>
    <w:pPr>
      <w:spacing w:after="0" w:line="360" w:lineRule="auto"/>
      <w:jc w:val="both"/>
    </w:pPr>
    <w:rPr>
      <w:rFonts w:ascii="Century Gothic" w:eastAsia="Calibri" w:hAnsi="Century Gothic" w:cs="Times New Roman"/>
      <w:spacing w:val="-20"/>
      <w:sz w:val="24"/>
      <w:szCs w:val="24"/>
      <w:lang w:val="es-ES" w:eastAsia="es-ES"/>
    </w:rPr>
  </w:style>
  <w:style w:type="character" w:customStyle="1" w:styleId="TextosinformatoCar">
    <w:name w:val="Texto sin formato Car"/>
    <w:basedOn w:val="Fuentedeprrafopredeter"/>
    <w:link w:val="Textosinformato"/>
    <w:uiPriority w:val="99"/>
    <w:rsid w:val="00286DCF"/>
    <w:rPr>
      <w:rFonts w:ascii="Century Gothic" w:eastAsia="Calibri" w:hAnsi="Century Gothic" w:cs="Times New Roman"/>
      <w:spacing w:val="-20"/>
      <w:sz w:val="24"/>
      <w:szCs w:val="24"/>
      <w:lang w:val="es-ES" w:eastAsia="es-ES"/>
    </w:rPr>
  </w:style>
  <w:style w:type="character" w:styleId="Textoennegrita">
    <w:name w:val="Strong"/>
    <w:uiPriority w:val="22"/>
    <w:qFormat/>
    <w:rsid w:val="00286DCF"/>
    <w:rPr>
      <w:b/>
      <w:bCs/>
    </w:rPr>
  </w:style>
  <w:style w:type="paragraph" w:styleId="NormalWeb">
    <w:name w:val="Normal (Web)"/>
    <w:basedOn w:val="Normal"/>
    <w:uiPriority w:val="99"/>
    <w:unhideWhenUsed/>
    <w:rsid w:val="009438DE"/>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m-3117309839125186528gmail-msolistparagraph">
    <w:name w:val="m_-3117309839125186528gmail-msolistparagraph"/>
    <w:basedOn w:val="Normal"/>
    <w:rsid w:val="009D2DB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ntent">
    <w:name w:val="content"/>
    <w:basedOn w:val="Normal"/>
    <w:rsid w:val="00804F53"/>
    <w:pPr>
      <w:spacing w:before="100" w:beforeAutospacing="1" w:after="100" w:afterAutospacing="1" w:line="240" w:lineRule="auto"/>
    </w:pPr>
    <w:rPr>
      <w:rFonts w:ascii="Times" w:hAnsi="Times"/>
      <w:sz w:val="20"/>
      <w:szCs w:val="20"/>
      <w:lang w:eastAsia="es-ES"/>
    </w:rPr>
  </w:style>
  <w:style w:type="character" w:customStyle="1" w:styleId="article-title">
    <w:name w:val="article-title"/>
    <w:basedOn w:val="Fuentedeprrafopredeter"/>
    <w:rsid w:val="002C66DF"/>
  </w:style>
  <w:style w:type="paragraph" w:styleId="HTMLconformatoprevio">
    <w:name w:val="HTML Preformatted"/>
    <w:basedOn w:val="Normal"/>
    <w:link w:val="HTMLconformatoprevioCar"/>
    <w:uiPriority w:val="99"/>
    <w:unhideWhenUsed/>
    <w:rsid w:val="008E4FE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E4FE6"/>
    <w:rPr>
      <w:rFonts w:ascii="Consolas" w:hAnsi="Consolas"/>
      <w:sz w:val="20"/>
      <w:szCs w:val="20"/>
    </w:rPr>
  </w:style>
  <w:style w:type="character" w:customStyle="1" w:styleId="Ancladenotaalpie">
    <w:name w:val="Ancla de nota al pie"/>
    <w:rsid w:val="00C124A4"/>
    <w:rPr>
      <w:vertAlign w:val="superscript"/>
    </w:rPr>
  </w:style>
  <w:style w:type="character" w:customStyle="1" w:styleId="Caracteresdenotaalpie">
    <w:name w:val="Caracteres de nota al pie"/>
    <w:qFormat/>
    <w:rsid w:val="00C124A4"/>
  </w:style>
  <w:style w:type="character" w:customStyle="1" w:styleId="ListLabel3">
    <w:name w:val="ListLabel 3"/>
    <w:qFormat/>
    <w:rsid w:val="00C124A4"/>
    <w:rPr>
      <w:rFonts w:cs="Courier New"/>
    </w:rPr>
  </w:style>
  <w:style w:type="character" w:customStyle="1" w:styleId="FootnoteCharacters">
    <w:name w:val="Footnote Characters"/>
    <w:basedOn w:val="Fuentedeprrafopredeter"/>
    <w:uiPriority w:val="99"/>
    <w:unhideWhenUsed/>
    <w:qFormat/>
    <w:rsid w:val="009C352D"/>
    <w:rPr>
      <w:vertAlign w:val="superscript"/>
    </w:rPr>
  </w:style>
  <w:style w:type="character" w:customStyle="1" w:styleId="Ancladenotafinal">
    <w:name w:val="Ancla de nota final"/>
    <w:rsid w:val="009C352D"/>
    <w:rPr>
      <w:vertAlign w:val="superscript"/>
    </w:rPr>
  </w:style>
  <w:style w:type="character" w:customStyle="1" w:styleId="EndnoteCharacters">
    <w:name w:val="Endnote Characters"/>
    <w:basedOn w:val="Fuentedeprrafopredeter"/>
    <w:uiPriority w:val="99"/>
    <w:unhideWhenUsed/>
    <w:qFormat/>
    <w:rsid w:val="009C352D"/>
    <w:rPr>
      <w:vertAlign w:val="superscript"/>
    </w:rPr>
  </w:style>
  <w:style w:type="character" w:customStyle="1" w:styleId="EnlacedeInternet">
    <w:name w:val="Enlace de Internet"/>
    <w:basedOn w:val="Fuentedeprrafopredeter"/>
    <w:uiPriority w:val="99"/>
    <w:unhideWhenUsed/>
    <w:rsid w:val="009C352D"/>
    <w:rPr>
      <w:color w:val="410082" w:themeColor="hyperlink"/>
      <w:u w:val="single"/>
    </w:rPr>
  </w:style>
  <w:style w:type="character" w:customStyle="1" w:styleId="ListLabel1">
    <w:name w:val="ListLabel 1"/>
    <w:qFormat/>
    <w:rsid w:val="009C352D"/>
    <w:rPr>
      <w:rFonts w:ascii="Garamond" w:hAnsi="Garamond"/>
      <w:b/>
    </w:rPr>
  </w:style>
  <w:style w:type="character" w:customStyle="1" w:styleId="ListLabel2">
    <w:name w:val="ListLabel 2"/>
    <w:qFormat/>
    <w:rsid w:val="009C352D"/>
    <w:rPr>
      <w:rFonts w:cs="Courier New"/>
    </w:rPr>
  </w:style>
  <w:style w:type="character" w:customStyle="1" w:styleId="ListLabel4">
    <w:name w:val="ListLabel 4"/>
    <w:qFormat/>
    <w:rsid w:val="009C352D"/>
    <w:rPr>
      <w:rFonts w:ascii="Garamond" w:hAnsi="Garamond" w:cs="Times New Roman"/>
      <w:bCs/>
    </w:rPr>
  </w:style>
  <w:style w:type="character" w:customStyle="1" w:styleId="Caracteresdenotafinal">
    <w:name w:val="Caracteres de nota final"/>
    <w:qFormat/>
    <w:rsid w:val="009C352D"/>
  </w:style>
  <w:style w:type="paragraph" w:styleId="Textoindependiente">
    <w:name w:val="Body Text"/>
    <w:basedOn w:val="Normal"/>
    <w:link w:val="TextoindependienteCar"/>
    <w:rsid w:val="009C352D"/>
    <w:pPr>
      <w:spacing w:after="140"/>
    </w:pPr>
    <w:rPr>
      <w:sz w:val="24"/>
      <w:szCs w:val="24"/>
      <w:lang w:val="de-DE"/>
    </w:rPr>
  </w:style>
  <w:style w:type="character" w:customStyle="1" w:styleId="TextoindependienteCar">
    <w:name w:val="Texto independiente Car"/>
    <w:basedOn w:val="Fuentedeprrafopredeter"/>
    <w:link w:val="Textoindependiente"/>
    <w:rsid w:val="009C352D"/>
    <w:rPr>
      <w:sz w:val="24"/>
      <w:szCs w:val="24"/>
      <w:lang w:val="de-DE"/>
    </w:rPr>
  </w:style>
  <w:style w:type="paragraph" w:styleId="Lista">
    <w:name w:val="List"/>
    <w:basedOn w:val="Textoindependiente"/>
    <w:rsid w:val="009C352D"/>
    <w:rPr>
      <w:rFonts w:cs="Arial"/>
    </w:rPr>
  </w:style>
  <w:style w:type="paragraph" w:styleId="Epgrafe">
    <w:name w:val="caption"/>
    <w:basedOn w:val="Normal"/>
    <w:qFormat/>
    <w:rsid w:val="009C352D"/>
    <w:pPr>
      <w:suppressLineNumbers/>
      <w:spacing w:before="120" w:after="120" w:line="240" w:lineRule="auto"/>
    </w:pPr>
    <w:rPr>
      <w:rFonts w:cs="Arial"/>
      <w:i/>
      <w:iCs/>
      <w:sz w:val="24"/>
      <w:szCs w:val="24"/>
      <w:lang w:val="de-DE"/>
    </w:rPr>
  </w:style>
  <w:style w:type="paragraph" w:customStyle="1" w:styleId="ndice">
    <w:name w:val="Índice"/>
    <w:basedOn w:val="Normal"/>
    <w:qFormat/>
    <w:rsid w:val="009C352D"/>
    <w:pPr>
      <w:suppressLineNumbers/>
      <w:spacing w:after="0" w:line="240" w:lineRule="auto"/>
    </w:pPr>
    <w:rPr>
      <w:rFonts w:cs="Arial"/>
      <w:sz w:val="24"/>
      <w:szCs w:val="24"/>
      <w:lang w:val="de-DE"/>
    </w:rPr>
  </w:style>
  <w:style w:type="paragraph" w:styleId="TDC1">
    <w:name w:val="toc 1"/>
    <w:basedOn w:val="Normal"/>
    <w:next w:val="Normal"/>
    <w:autoRedefine/>
    <w:uiPriority w:val="39"/>
    <w:unhideWhenUsed/>
    <w:rsid w:val="009C352D"/>
    <w:pPr>
      <w:tabs>
        <w:tab w:val="right" w:leader="dot" w:pos="9090"/>
      </w:tabs>
      <w:spacing w:before="120" w:after="0" w:line="240" w:lineRule="auto"/>
    </w:pPr>
    <w:rPr>
      <w:b/>
      <w:sz w:val="24"/>
      <w:szCs w:val="24"/>
      <w:lang w:val="de-DE"/>
    </w:rPr>
  </w:style>
  <w:style w:type="paragraph" w:styleId="TDC2">
    <w:name w:val="toc 2"/>
    <w:basedOn w:val="Normal"/>
    <w:next w:val="Normal"/>
    <w:autoRedefine/>
    <w:uiPriority w:val="39"/>
    <w:unhideWhenUsed/>
    <w:rsid w:val="009C352D"/>
    <w:pPr>
      <w:spacing w:after="0" w:line="240" w:lineRule="auto"/>
      <w:ind w:left="240"/>
    </w:pPr>
    <w:rPr>
      <w:b/>
      <w:lang w:val="de-DE"/>
    </w:rPr>
  </w:style>
  <w:style w:type="paragraph" w:styleId="TDC3">
    <w:name w:val="toc 3"/>
    <w:basedOn w:val="Normal"/>
    <w:next w:val="Normal"/>
    <w:autoRedefine/>
    <w:uiPriority w:val="39"/>
    <w:unhideWhenUsed/>
    <w:rsid w:val="009C352D"/>
    <w:pPr>
      <w:spacing w:after="0" w:line="240" w:lineRule="auto"/>
      <w:ind w:left="480"/>
    </w:pPr>
    <w:rPr>
      <w:lang w:val="de-DE"/>
    </w:rPr>
  </w:style>
  <w:style w:type="paragraph" w:styleId="TDC4">
    <w:name w:val="toc 4"/>
    <w:basedOn w:val="Normal"/>
    <w:next w:val="Normal"/>
    <w:autoRedefine/>
    <w:uiPriority w:val="39"/>
    <w:unhideWhenUsed/>
    <w:rsid w:val="009C352D"/>
    <w:pPr>
      <w:spacing w:after="0" w:line="240" w:lineRule="auto"/>
      <w:ind w:left="720"/>
    </w:pPr>
    <w:rPr>
      <w:sz w:val="20"/>
      <w:szCs w:val="20"/>
      <w:lang w:val="de-DE"/>
    </w:rPr>
  </w:style>
  <w:style w:type="paragraph" w:styleId="TDC5">
    <w:name w:val="toc 5"/>
    <w:basedOn w:val="Normal"/>
    <w:next w:val="Normal"/>
    <w:autoRedefine/>
    <w:uiPriority w:val="39"/>
    <w:unhideWhenUsed/>
    <w:rsid w:val="009C352D"/>
    <w:pPr>
      <w:spacing w:after="0" w:line="240" w:lineRule="auto"/>
      <w:ind w:left="960"/>
    </w:pPr>
    <w:rPr>
      <w:sz w:val="20"/>
      <w:szCs w:val="20"/>
      <w:lang w:val="de-DE"/>
    </w:rPr>
  </w:style>
  <w:style w:type="paragraph" w:styleId="TDC6">
    <w:name w:val="toc 6"/>
    <w:basedOn w:val="Normal"/>
    <w:next w:val="Normal"/>
    <w:autoRedefine/>
    <w:uiPriority w:val="39"/>
    <w:unhideWhenUsed/>
    <w:rsid w:val="009C352D"/>
    <w:pPr>
      <w:spacing w:after="0" w:line="240" w:lineRule="auto"/>
      <w:ind w:left="1200"/>
    </w:pPr>
    <w:rPr>
      <w:sz w:val="20"/>
      <w:szCs w:val="20"/>
      <w:lang w:val="de-DE"/>
    </w:rPr>
  </w:style>
  <w:style w:type="paragraph" w:styleId="TDC7">
    <w:name w:val="toc 7"/>
    <w:basedOn w:val="Normal"/>
    <w:next w:val="Normal"/>
    <w:autoRedefine/>
    <w:uiPriority w:val="39"/>
    <w:unhideWhenUsed/>
    <w:rsid w:val="009C352D"/>
    <w:pPr>
      <w:spacing w:after="0" w:line="240" w:lineRule="auto"/>
      <w:ind w:left="1440"/>
    </w:pPr>
    <w:rPr>
      <w:sz w:val="20"/>
      <w:szCs w:val="20"/>
      <w:lang w:val="de-DE"/>
    </w:rPr>
  </w:style>
  <w:style w:type="paragraph" w:styleId="TDC8">
    <w:name w:val="toc 8"/>
    <w:basedOn w:val="Normal"/>
    <w:next w:val="Normal"/>
    <w:autoRedefine/>
    <w:uiPriority w:val="39"/>
    <w:unhideWhenUsed/>
    <w:rsid w:val="009C352D"/>
    <w:pPr>
      <w:spacing w:after="0" w:line="240" w:lineRule="auto"/>
      <w:ind w:left="1680"/>
    </w:pPr>
    <w:rPr>
      <w:sz w:val="20"/>
      <w:szCs w:val="20"/>
      <w:lang w:val="de-DE"/>
    </w:rPr>
  </w:style>
  <w:style w:type="paragraph" w:styleId="TDC9">
    <w:name w:val="toc 9"/>
    <w:basedOn w:val="Normal"/>
    <w:next w:val="Normal"/>
    <w:autoRedefine/>
    <w:uiPriority w:val="39"/>
    <w:unhideWhenUsed/>
    <w:rsid w:val="009C352D"/>
    <w:pPr>
      <w:spacing w:after="0" w:line="240" w:lineRule="auto"/>
      <w:ind w:left="1920"/>
    </w:pPr>
    <w:rPr>
      <w:sz w:val="20"/>
      <w:szCs w:val="20"/>
      <w:lang w:val="de-DE"/>
    </w:rPr>
  </w:style>
  <w:style w:type="paragraph" w:styleId="TtulodeTDC">
    <w:name w:val="TOC Heading"/>
    <w:basedOn w:val="Ttulo1"/>
    <w:next w:val="Normal"/>
    <w:uiPriority w:val="39"/>
    <w:unhideWhenUsed/>
    <w:qFormat/>
    <w:rsid w:val="009C352D"/>
    <w:pPr>
      <w:spacing w:after="240"/>
    </w:pPr>
    <w:rPr>
      <w:sz w:val="24"/>
      <w:szCs w:val="24"/>
      <w:lang w:eastAsia="es-ES"/>
    </w:rPr>
  </w:style>
  <w:style w:type="paragraph" w:customStyle="1" w:styleId="Contenidodelmarco">
    <w:name w:val="Contenido del marco"/>
    <w:basedOn w:val="Normal"/>
    <w:qFormat/>
    <w:rsid w:val="009C352D"/>
    <w:pPr>
      <w:spacing w:after="0" w:line="240" w:lineRule="auto"/>
    </w:pPr>
    <w:rPr>
      <w:sz w:val="24"/>
      <w:szCs w:val="24"/>
      <w:lang w:val="de-DE"/>
    </w:rPr>
  </w:style>
  <w:style w:type="character" w:customStyle="1" w:styleId="text">
    <w:name w:val="text"/>
    <w:basedOn w:val="Fuentedeprrafopredeter"/>
    <w:rsid w:val="009C3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55"/>
  </w:style>
  <w:style w:type="paragraph" w:styleId="Ttulo1">
    <w:name w:val="heading 1"/>
    <w:basedOn w:val="Normal"/>
    <w:next w:val="Normal"/>
    <w:link w:val="Ttulo1Car"/>
    <w:uiPriority w:val="9"/>
    <w:qFormat/>
    <w:rsid w:val="00936EA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tulo2">
    <w:name w:val="heading 2"/>
    <w:basedOn w:val="Normal"/>
    <w:next w:val="Normal"/>
    <w:link w:val="Ttulo2Car"/>
    <w:uiPriority w:val="9"/>
    <w:unhideWhenUsed/>
    <w:qFormat/>
    <w:rsid w:val="00936EAE"/>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Ttulo3">
    <w:name w:val="heading 3"/>
    <w:basedOn w:val="Normal"/>
    <w:next w:val="Normal"/>
    <w:link w:val="Ttulo3Car"/>
    <w:uiPriority w:val="9"/>
    <w:unhideWhenUsed/>
    <w:qFormat/>
    <w:rsid w:val="004B1FCB"/>
    <w:pPr>
      <w:keepNext/>
      <w:keepLines/>
      <w:spacing w:before="200" w:after="0"/>
      <w:outlineLvl w:val="2"/>
    </w:pPr>
    <w:rPr>
      <w:rFonts w:asciiTheme="majorHAnsi" w:eastAsiaTheme="majorEastAsia" w:hAnsiTheme="majorHAnsi" w:cstheme="majorBidi"/>
      <w:b/>
      <w:bCs/>
      <w:color w:val="CEB966" w:themeColor="accent1"/>
    </w:rPr>
  </w:style>
  <w:style w:type="paragraph" w:styleId="Ttulo4">
    <w:name w:val="heading 4"/>
    <w:basedOn w:val="Normal"/>
    <w:next w:val="Normal"/>
    <w:link w:val="Ttulo4Car"/>
    <w:uiPriority w:val="9"/>
    <w:unhideWhenUsed/>
    <w:qFormat/>
    <w:rsid w:val="00E02F89"/>
    <w:pPr>
      <w:keepNext/>
      <w:keepLines/>
      <w:spacing w:before="200" w:after="0"/>
      <w:outlineLvl w:val="3"/>
    </w:pPr>
    <w:rPr>
      <w:rFonts w:asciiTheme="majorHAnsi" w:eastAsiaTheme="majorEastAsia" w:hAnsiTheme="majorHAnsi" w:cstheme="majorBidi"/>
      <w:b/>
      <w:bCs/>
      <w:i/>
      <w:iCs/>
      <w:color w:val="CEB966" w:themeColor="accent1"/>
    </w:rPr>
  </w:style>
  <w:style w:type="paragraph" w:styleId="Ttulo5">
    <w:name w:val="heading 5"/>
    <w:basedOn w:val="Normal"/>
    <w:next w:val="Normal"/>
    <w:link w:val="Ttulo5Car"/>
    <w:uiPriority w:val="9"/>
    <w:semiHidden/>
    <w:unhideWhenUsed/>
    <w:qFormat/>
    <w:rsid w:val="00C5293F"/>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36EAE"/>
    <w:rPr>
      <w:rFonts w:asciiTheme="majorHAnsi" w:eastAsiaTheme="majorEastAsia" w:hAnsiTheme="majorHAnsi" w:cstheme="majorBidi"/>
      <w:b/>
      <w:bCs/>
      <w:color w:val="AE9638" w:themeColor="accent1" w:themeShade="BF"/>
      <w:sz w:val="28"/>
      <w:szCs w:val="28"/>
    </w:rPr>
  </w:style>
  <w:style w:type="character" w:customStyle="1" w:styleId="Ttulo2Car">
    <w:name w:val="Título 2 Car"/>
    <w:basedOn w:val="Fuentedeprrafopredeter"/>
    <w:link w:val="Ttulo2"/>
    <w:uiPriority w:val="9"/>
    <w:qFormat/>
    <w:rsid w:val="00936EAE"/>
    <w:rPr>
      <w:rFonts w:asciiTheme="majorHAnsi" w:eastAsiaTheme="majorEastAsia" w:hAnsiTheme="majorHAnsi" w:cstheme="majorBidi"/>
      <w:b/>
      <w:bCs/>
      <w:color w:val="CEB966" w:themeColor="accent1"/>
      <w:sz w:val="26"/>
      <w:szCs w:val="26"/>
    </w:rPr>
  </w:style>
  <w:style w:type="character" w:customStyle="1" w:styleId="Ttulo3Car">
    <w:name w:val="Título 3 Car"/>
    <w:basedOn w:val="Fuentedeprrafopredeter"/>
    <w:link w:val="Ttulo3"/>
    <w:uiPriority w:val="9"/>
    <w:qFormat/>
    <w:rsid w:val="004B1FCB"/>
    <w:rPr>
      <w:rFonts w:asciiTheme="majorHAnsi" w:eastAsiaTheme="majorEastAsia" w:hAnsiTheme="majorHAnsi" w:cstheme="majorBidi"/>
      <w:b/>
      <w:bCs/>
      <w:color w:val="CEB966" w:themeColor="accent1"/>
    </w:rPr>
  </w:style>
  <w:style w:type="character" w:customStyle="1" w:styleId="Ttulo4Car">
    <w:name w:val="Título 4 Car"/>
    <w:basedOn w:val="Fuentedeprrafopredeter"/>
    <w:link w:val="Ttulo4"/>
    <w:uiPriority w:val="9"/>
    <w:qFormat/>
    <w:rsid w:val="00E02F89"/>
    <w:rPr>
      <w:rFonts w:asciiTheme="majorHAnsi" w:eastAsiaTheme="majorEastAsia" w:hAnsiTheme="majorHAnsi" w:cstheme="majorBidi"/>
      <w:b/>
      <w:bCs/>
      <w:i/>
      <w:iCs/>
      <w:color w:val="CEB966" w:themeColor="accent1"/>
    </w:rPr>
  </w:style>
  <w:style w:type="character" w:customStyle="1" w:styleId="Ttulo5Car">
    <w:name w:val="Título 5 Car"/>
    <w:basedOn w:val="Fuentedeprrafopredeter"/>
    <w:link w:val="Ttulo5"/>
    <w:uiPriority w:val="9"/>
    <w:semiHidden/>
    <w:rsid w:val="00C5293F"/>
    <w:rPr>
      <w:rFonts w:asciiTheme="majorHAnsi" w:eastAsiaTheme="majorEastAsia" w:hAnsiTheme="majorHAnsi" w:cstheme="majorBidi"/>
      <w:color w:val="746325" w:themeColor="accent1" w:themeShade="7F"/>
    </w:rPr>
  </w:style>
  <w:style w:type="paragraph" w:styleId="Textonotapie">
    <w:name w:val="footnote text"/>
    <w:aliases w:val="fn,footnote text, Car6,Footnote reference,FA Fu,Footnote Text Char Char Char Char Char,Footnote Text Char Char Char Char,Footnote Text Char Char Char,Texto nota pie kund, Car"/>
    <w:basedOn w:val="Normal"/>
    <w:link w:val="TextonotapieCar"/>
    <w:uiPriority w:val="99"/>
    <w:unhideWhenUsed/>
    <w:qFormat/>
    <w:rsid w:val="002C6E55"/>
    <w:pPr>
      <w:spacing w:after="0" w:line="240" w:lineRule="auto"/>
    </w:pPr>
    <w:rPr>
      <w:sz w:val="20"/>
      <w:szCs w:val="20"/>
    </w:rPr>
  </w:style>
  <w:style w:type="character" w:customStyle="1" w:styleId="TextonotapieCar">
    <w:name w:val="Texto nota pie Car"/>
    <w:aliases w:val="fn Car,footnote text Car, Car6 Car,Footnote reference Car,FA Fu Car,Footnote Text Char Char Char Char Char Car,Footnote Text Char Char Char Char Car,Footnote Text Char Char Char Car,Texto nota pie kund Car, Car Car"/>
    <w:basedOn w:val="Fuentedeprrafopredeter"/>
    <w:link w:val="Textonotapie"/>
    <w:uiPriority w:val="99"/>
    <w:qFormat/>
    <w:rsid w:val="002C6E55"/>
    <w:rPr>
      <w:sz w:val="20"/>
      <w:szCs w:val="20"/>
    </w:rPr>
  </w:style>
  <w:style w:type="character" w:styleId="Refdenotaalpie">
    <w:name w:val="footnote reference"/>
    <w:aliases w:val="FC"/>
    <w:uiPriority w:val="99"/>
    <w:rsid w:val="002C6E55"/>
    <w:rPr>
      <w:vertAlign w:val="superscript"/>
    </w:rPr>
  </w:style>
  <w:style w:type="paragraph" w:styleId="Textocomentario">
    <w:name w:val="annotation text"/>
    <w:basedOn w:val="Normal"/>
    <w:link w:val="TextocomentarioCar"/>
    <w:uiPriority w:val="99"/>
    <w:unhideWhenUsed/>
    <w:qFormat/>
    <w:rsid w:val="00846EA4"/>
    <w:pPr>
      <w:widowControl w:val="0"/>
      <w:spacing w:after="0" w:line="240" w:lineRule="auto"/>
    </w:pPr>
    <w:rPr>
      <w:rFonts w:ascii="Courier" w:eastAsia="Times New Roman" w:hAnsi="Courier" w:cs="Times New Roman"/>
      <w:sz w:val="20"/>
      <w:szCs w:val="20"/>
      <w:lang w:eastAsia="es-ES"/>
    </w:rPr>
  </w:style>
  <w:style w:type="character" w:customStyle="1" w:styleId="TextocomentarioCar">
    <w:name w:val="Texto comentario Car"/>
    <w:basedOn w:val="Fuentedeprrafopredeter"/>
    <w:link w:val="Textocomentario"/>
    <w:uiPriority w:val="99"/>
    <w:qFormat/>
    <w:rsid w:val="00846EA4"/>
    <w:rPr>
      <w:rFonts w:ascii="Courier" w:eastAsia="Times New Roman" w:hAnsi="Courier" w:cs="Times New Roman"/>
      <w:sz w:val="20"/>
      <w:szCs w:val="20"/>
      <w:lang w:eastAsia="es-ES"/>
    </w:rPr>
  </w:style>
  <w:style w:type="character" w:styleId="Refdecomentario">
    <w:name w:val="annotation reference"/>
    <w:uiPriority w:val="99"/>
    <w:semiHidden/>
    <w:unhideWhenUsed/>
    <w:qFormat/>
    <w:rsid w:val="00846EA4"/>
    <w:rPr>
      <w:sz w:val="16"/>
    </w:rPr>
  </w:style>
  <w:style w:type="paragraph" w:styleId="Textodeglobo">
    <w:name w:val="Balloon Text"/>
    <w:basedOn w:val="Normal"/>
    <w:link w:val="TextodegloboCar"/>
    <w:uiPriority w:val="99"/>
    <w:semiHidden/>
    <w:unhideWhenUsed/>
    <w:qFormat/>
    <w:rsid w:val="00846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846E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qFormat/>
    <w:rsid w:val="00111FA5"/>
    <w:pPr>
      <w:widowControl/>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qFormat/>
    <w:rsid w:val="00111FA5"/>
    <w:rPr>
      <w:rFonts w:ascii="Courier" w:eastAsia="Times New Roman" w:hAnsi="Courier" w:cs="Times New Roman"/>
      <w:b/>
      <w:bCs/>
      <w:sz w:val="20"/>
      <w:szCs w:val="20"/>
      <w:lang w:eastAsia="es-ES"/>
    </w:rPr>
  </w:style>
  <w:style w:type="paragraph" w:styleId="Prrafodelista">
    <w:name w:val="List Paragraph"/>
    <w:basedOn w:val="Normal"/>
    <w:uiPriority w:val="34"/>
    <w:qFormat/>
    <w:rsid w:val="004262CF"/>
    <w:pPr>
      <w:ind w:left="720"/>
      <w:contextualSpacing/>
    </w:pPr>
  </w:style>
  <w:style w:type="paragraph" w:styleId="Sinespaciado">
    <w:name w:val="No Spacing"/>
    <w:link w:val="SinespaciadoCar"/>
    <w:uiPriority w:val="1"/>
    <w:qFormat/>
    <w:rsid w:val="00E85BCF"/>
    <w:pPr>
      <w:spacing w:after="0" w:line="240" w:lineRule="auto"/>
    </w:pPr>
    <w:rPr>
      <w:lang w:val="es-ES"/>
    </w:rPr>
  </w:style>
  <w:style w:type="character" w:customStyle="1" w:styleId="SinespaciadoCar">
    <w:name w:val="Sin espaciado Car"/>
    <w:basedOn w:val="Fuentedeprrafopredeter"/>
    <w:link w:val="Sinespaciado"/>
    <w:uiPriority w:val="1"/>
    <w:qFormat/>
    <w:rsid w:val="009C352D"/>
    <w:rPr>
      <w:lang w:val="es-ES"/>
    </w:rPr>
  </w:style>
  <w:style w:type="character" w:styleId="Hipervnculo">
    <w:name w:val="Hyperlink"/>
    <w:basedOn w:val="Fuentedeprrafopredeter"/>
    <w:uiPriority w:val="99"/>
    <w:unhideWhenUsed/>
    <w:rsid w:val="00B5292C"/>
    <w:rPr>
      <w:color w:val="410082" w:themeColor="hyperlink"/>
      <w:u w:val="single"/>
    </w:rPr>
  </w:style>
  <w:style w:type="paragraph" w:styleId="Encabezado">
    <w:name w:val="header"/>
    <w:basedOn w:val="Normal"/>
    <w:link w:val="EncabezadoCar"/>
    <w:uiPriority w:val="99"/>
    <w:unhideWhenUsed/>
    <w:rsid w:val="00E24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E24B3B"/>
  </w:style>
  <w:style w:type="paragraph" w:styleId="Piedepgina">
    <w:name w:val="footer"/>
    <w:basedOn w:val="Normal"/>
    <w:link w:val="PiedepginaCar"/>
    <w:uiPriority w:val="99"/>
    <w:unhideWhenUsed/>
    <w:rsid w:val="00E24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E24B3B"/>
  </w:style>
  <w:style w:type="paragraph" w:styleId="Ttulo">
    <w:name w:val="Title"/>
    <w:basedOn w:val="Normal"/>
    <w:next w:val="Normal"/>
    <w:link w:val="TtuloCar"/>
    <w:qFormat/>
    <w:rsid w:val="00936EAE"/>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tuloCar">
    <w:name w:val="Título Car"/>
    <w:basedOn w:val="Fuentedeprrafopredeter"/>
    <w:link w:val="Ttulo"/>
    <w:rsid w:val="00936EAE"/>
    <w:rPr>
      <w:rFonts w:asciiTheme="majorHAnsi" w:eastAsiaTheme="majorEastAsia" w:hAnsiTheme="majorHAnsi" w:cstheme="majorBidi"/>
      <w:color w:val="4E4D51" w:themeColor="text2" w:themeShade="BF"/>
      <w:spacing w:val="5"/>
      <w:kern w:val="28"/>
      <w:sz w:val="52"/>
      <w:szCs w:val="52"/>
    </w:rPr>
  </w:style>
  <w:style w:type="paragraph" w:styleId="Subttulo">
    <w:name w:val="Subtitle"/>
    <w:basedOn w:val="Normal"/>
    <w:next w:val="Normal"/>
    <w:link w:val="SubttuloCar"/>
    <w:uiPriority w:val="11"/>
    <w:qFormat/>
    <w:rsid w:val="00936EAE"/>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ubttuloCar">
    <w:name w:val="Subtítulo Car"/>
    <w:basedOn w:val="Fuentedeprrafopredeter"/>
    <w:link w:val="Subttulo"/>
    <w:uiPriority w:val="11"/>
    <w:rsid w:val="00936EAE"/>
    <w:rPr>
      <w:rFonts w:asciiTheme="majorHAnsi" w:eastAsiaTheme="majorEastAsia" w:hAnsiTheme="majorHAnsi" w:cstheme="majorBidi"/>
      <w:i/>
      <w:iCs/>
      <w:color w:val="CEB966" w:themeColor="accent1"/>
      <w:spacing w:val="15"/>
      <w:sz w:val="24"/>
      <w:szCs w:val="24"/>
    </w:rPr>
  </w:style>
  <w:style w:type="paragraph" w:styleId="Cita">
    <w:name w:val="Quote"/>
    <w:basedOn w:val="Normal"/>
    <w:next w:val="Normal"/>
    <w:link w:val="CitaCar"/>
    <w:uiPriority w:val="29"/>
    <w:qFormat/>
    <w:rsid w:val="000A33F1"/>
    <w:rPr>
      <w:i/>
      <w:iCs/>
      <w:color w:val="000000" w:themeColor="text1"/>
    </w:rPr>
  </w:style>
  <w:style w:type="character" w:customStyle="1" w:styleId="CitaCar">
    <w:name w:val="Cita Car"/>
    <w:basedOn w:val="Fuentedeprrafopredeter"/>
    <w:link w:val="Cita"/>
    <w:uiPriority w:val="29"/>
    <w:rsid w:val="000A33F1"/>
    <w:rPr>
      <w:i/>
      <w:iCs/>
      <w:color w:val="000000" w:themeColor="text1"/>
    </w:rPr>
  </w:style>
  <w:style w:type="character" w:styleId="nfasis">
    <w:name w:val="Emphasis"/>
    <w:basedOn w:val="Fuentedeprrafopredeter"/>
    <w:uiPriority w:val="20"/>
    <w:qFormat/>
    <w:rsid w:val="00BF5428"/>
    <w:rPr>
      <w:i/>
      <w:iCs/>
    </w:rPr>
  </w:style>
  <w:style w:type="character" w:customStyle="1" w:styleId="selectable">
    <w:name w:val="selectable"/>
    <w:basedOn w:val="Fuentedeprrafopredeter"/>
    <w:rsid w:val="00971B30"/>
  </w:style>
  <w:style w:type="character" w:customStyle="1" w:styleId="Smbolodenotaalpie">
    <w:name w:val="Símbolo de nota al pie"/>
    <w:rsid w:val="004B1FCB"/>
    <w:rPr>
      <w:vertAlign w:val="superscript"/>
    </w:rPr>
  </w:style>
  <w:style w:type="character" w:styleId="Hipervnculovisitado">
    <w:name w:val="FollowedHyperlink"/>
    <w:basedOn w:val="Fuentedeprrafopredeter"/>
    <w:uiPriority w:val="99"/>
    <w:semiHidden/>
    <w:unhideWhenUsed/>
    <w:qFormat/>
    <w:rsid w:val="002C1F4B"/>
    <w:rPr>
      <w:color w:val="932968" w:themeColor="followedHyperlink"/>
      <w:u w:val="single"/>
    </w:rPr>
  </w:style>
  <w:style w:type="paragraph" w:styleId="Textonotaalfinal">
    <w:name w:val="endnote text"/>
    <w:basedOn w:val="Normal"/>
    <w:link w:val="TextonotaalfinalCar"/>
    <w:uiPriority w:val="99"/>
    <w:unhideWhenUsed/>
    <w:rsid w:val="00A25F13"/>
    <w:pPr>
      <w:spacing w:after="0" w:line="240" w:lineRule="auto"/>
    </w:pPr>
    <w:rPr>
      <w:sz w:val="20"/>
      <w:szCs w:val="20"/>
    </w:rPr>
  </w:style>
  <w:style w:type="character" w:customStyle="1" w:styleId="TextonotaalfinalCar">
    <w:name w:val="Texto nota al final Car"/>
    <w:basedOn w:val="Fuentedeprrafopredeter"/>
    <w:link w:val="Textonotaalfinal"/>
    <w:uiPriority w:val="99"/>
    <w:qFormat/>
    <w:rsid w:val="00A25F13"/>
    <w:rPr>
      <w:sz w:val="20"/>
      <w:szCs w:val="20"/>
    </w:rPr>
  </w:style>
  <w:style w:type="character" w:styleId="Refdenotaalfinal">
    <w:name w:val="endnote reference"/>
    <w:basedOn w:val="Fuentedeprrafopredeter"/>
    <w:uiPriority w:val="99"/>
    <w:semiHidden/>
    <w:unhideWhenUsed/>
    <w:rsid w:val="00A25F13"/>
    <w:rPr>
      <w:vertAlign w:val="superscript"/>
    </w:rPr>
  </w:style>
  <w:style w:type="character" w:customStyle="1" w:styleId="apple-converted-space">
    <w:name w:val="apple-converted-space"/>
    <w:basedOn w:val="Fuentedeprrafopredeter"/>
    <w:qFormat/>
    <w:rsid w:val="00803F00"/>
  </w:style>
  <w:style w:type="character" w:customStyle="1" w:styleId="st">
    <w:name w:val="st"/>
    <w:basedOn w:val="Fuentedeprrafopredeter"/>
    <w:rsid w:val="00DB6950"/>
  </w:style>
  <w:style w:type="paragraph" w:customStyle="1" w:styleId="Listavistosa-nfasis11">
    <w:name w:val="Lista vistosa - Énfasis 11"/>
    <w:basedOn w:val="Normal"/>
    <w:uiPriority w:val="34"/>
    <w:qFormat/>
    <w:rsid w:val="00C03D86"/>
    <w:pPr>
      <w:ind w:left="720"/>
      <w:contextualSpacing/>
    </w:pPr>
    <w:rPr>
      <w:rFonts w:ascii="Calibri" w:eastAsia="Calibri" w:hAnsi="Calibri" w:cs="Times New Roman"/>
      <w:lang w:val="es-MX"/>
    </w:rPr>
  </w:style>
  <w:style w:type="paragraph" w:customStyle="1" w:styleId="Normal1">
    <w:name w:val="Normal1"/>
    <w:rsid w:val="00C03D86"/>
    <w:pPr>
      <w:spacing w:after="0" w:line="240" w:lineRule="auto"/>
    </w:pPr>
    <w:rPr>
      <w:rFonts w:ascii="Cambria" w:eastAsia="Cambria" w:hAnsi="Cambria" w:cs="Cambria"/>
      <w:color w:val="000000"/>
      <w:sz w:val="24"/>
      <w:szCs w:val="24"/>
      <w:lang w:eastAsia="es-ES"/>
    </w:rPr>
  </w:style>
  <w:style w:type="paragraph" w:customStyle="1" w:styleId="Default">
    <w:name w:val="Default"/>
    <w:qFormat/>
    <w:rsid w:val="00F167F1"/>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character" w:customStyle="1" w:styleId="Ttulodelibro">
    <w:name w:val="Título de libro"/>
    <w:uiPriority w:val="33"/>
    <w:qFormat/>
    <w:rsid w:val="00B91837"/>
    <w:rPr>
      <w:b/>
      <w:bCs/>
      <w:i/>
      <w:iCs/>
      <w:spacing w:val="5"/>
    </w:rPr>
  </w:style>
  <w:style w:type="paragraph" w:styleId="Textosinformato">
    <w:name w:val="Plain Text"/>
    <w:basedOn w:val="Normal"/>
    <w:link w:val="TextosinformatoCar"/>
    <w:uiPriority w:val="99"/>
    <w:unhideWhenUsed/>
    <w:rsid w:val="00286DCF"/>
    <w:pPr>
      <w:spacing w:after="0" w:line="360" w:lineRule="auto"/>
      <w:jc w:val="both"/>
    </w:pPr>
    <w:rPr>
      <w:rFonts w:ascii="Century Gothic" w:eastAsia="Calibri" w:hAnsi="Century Gothic" w:cs="Times New Roman"/>
      <w:spacing w:val="-20"/>
      <w:sz w:val="24"/>
      <w:szCs w:val="24"/>
      <w:lang w:val="es-ES" w:eastAsia="es-ES"/>
    </w:rPr>
  </w:style>
  <w:style w:type="character" w:customStyle="1" w:styleId="TextosinformatoCar">
    <w:name w:val="Texto sin formato Car"/>
    <w:basedOn w:val="Fuentedeprrafopredeter"/>
    <w:link w:val="Textosinformato"/>
    <w:uiPriority w:val="99"/>
    <w:rsid w:val="00286DCF"/>
    <w:rPr>
      <w:rFonts w:ascii="Century Gothic" w:eastAsia="Calibri" w:hAnsi="Century Gothic" w:cs="Times New Roman"/>
      <w:spacing w:val="-20"/>
      <w:sz w:val="24"/>
      <w:szCs w:val="24"/>
      <w:lang w:val="es-ES" w:eastAsia="es-ES"/>
    </w:rPr>
  </w:style>
  <w:style w:type="character" w:styleId="Textoennegrita">
    <w:name w:val="Strong"/>
    <w:uiPriority w:val="22"/>
    <w:qFormat/>
    <w:rsid w:val="00286DCF"/>
    <w:rPr>
      <w:b/>
      <w:bCs/>
    </w:rPr>
  </w:style>
  <w:style w:type="paragraph" w:styleId="NormalWeb">
    <w:name w:val="Normal (Web)"/>
    <w:basedOn w:val="Normal"/>
    <w:uiPriority w:val="99"/>
    <w:unhideWhenUsed/>
    <w:rsid w:val="009438DE"/>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m-3117309839125186528gmail-msolistparagraph">
    <w:name w:val="m_-3117309839125186528gmail-msolistparagraph"/>
    <w:basedOn w:val="Normal"/>
    <w:rsid w:val="009D2DB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ntent">
    <w:name w:val="content"/>
    <w:basedOn w:val="Normal"/>
    <w:rsid w:val="00804F53"/>
    <w:pPr>
      <w:spacing w:before="100" w:beforeAutospacing="1" w:after="100" w:afterAutospacing="1" w:line="240" w:lineRule="auto"/>
    </w:pPr>
    <w:rPr>
      <w:rFonts w:ascii="Times" w:hAnsi="Times"/>
      <w:sz w:val="20"/>
      <w:szCs w:val="20"/>
      <w:lang w:eastAsia="es-ES"/>
    </w:rPr>
  </w:style>
  <w:style w:type="character" w:customStyle="1" w:styleId="article-title">
    <w:name w:val="article-title"/>
    <w:basedOn w:val="Fuentedeprrafopredeter"/>
    <w:rsid w:val="002C66DF"/>
  </w:style>
  <w:style w:type="paragraph" w:styleId="HTMLconformatoprevio">
    <w:name w:val="HTML Preformatted"/>
    <w:basedOn w:val="Normal"/>
    <w:link w:val="HTMLconformatoprevioCar"/>
    <w:uiPriority w:val="99"/>
    <w:unhideWhenUsed/>
    <w:rsid w:val="008E4FE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E4FE6"/>
    <w:rPr>
      <w:rFonts w:ascii="Consolas" w:hAnsi="Consolas"/>
      <w:sz w:val="20"/>
      <w:szCs w:val="20"/>
    </w:rPr>
  </w:style>
  <w:style w:type="character" w:customStyle="1" w:styleId="Ancladenotaalpie">
    <w:name w:val="Ancla de nota al pie"/>
    <w:rsid w:val="00C124A4"/>
    <w:rPr>
      <w:vertAlign w:val="superscript"/>
    </w:rPr>
  </w:style>
  <w:style w:type="character" w:customStyle="1" w:styleId="Caracteresdenotaalpie">
    <w:name w:val="Caracteres de nota al pie"/>
    <w:qFormat/>
    <w:rsid w:val="00C124A4"/>
  </w:style>
  <w:style w:type="character" w:customStyle="1" w:styleId="ListLabel3">
    <w:name w:val="ListLabel 3"/>
    <w:qFormat/>
    <w:rsid w:val="00C124A4"/>
    <w:rPr>
      <w:rFonts w:cs="Courier New"/>
    </w:rPr>
  </w:style>
  <w:style w:type="character" w:customStyle="1" w:styleId="FootnoteCharacters">
    <w:name w:val="Footnote Characters"/>
    <w:basedOn w:val="Fuentedeprrafopredeter"/>
    <w:uiPriority w:val="99"/>
    <w:unhideWhenUsed/>
    <w:qFormat/>
    <w:rsid w:val="009C352D"/>
    <w:rPr>
      <w:vertAlign w:val="superscript"/>
    </w:rPr>
  </w:style>
  <w:style w:type="character" w:customStyle="1" w:styleId="Ancladenotafinal">
    <w:name w:val="Ancla de nota final"/>
    <w:rsid w:val="009C352D"/>
    <w:rPr>
      <w:vertAlign w:val="superscript"/>
    </w:rPr>
  </w:style>
  <w:style w:type="character" w:customStyle="1" w:styleId="EndnoteCharacters">
    <w:name w:val="Endnote Characters"/>
    <w:basedOn w:val="Fuentedeprrafopredeter"/>
    <w:uiPriority w:val="99"/>
    <w:unhideWhenUsed/>
    <w:qFormat/>
    <w:rsid w:val="009C352D"/>
    <w:rPr>
      <w:vertAlign w:val="superscript"/>
    </w:rPr>
  </w:style>
  <w:style w:type="character" w:customStyle="1" w:styleId="EnlacedeInternet">
    <w:name w:val="Enlace de Internet"/>
    <w:basedOn w:val="Fuentedeprrafopredeter"/>
    <w:uiPriority w:val="99"/>
    <w:unhideWhenUsed/>
    <w:rsid w:val="009C352D"/>
    <w:rPr>
      <w:color w:val="410082" w:themeColor="hyperlink"/>
      <w:u w:val="single"/>
    </w:rPr>
  </w:style>
  <w:style w:type="character" w:customStyle="1" w:styleId="ListLabel1">
    <w:name w:val="ListLabel 1"/>
    <w:qFormat/>
    <w:rsid w:val="009C352D"/>
    <w:rPr>
      <w:rFonts w:ascii="Garamond" w:hAnsi="Garamond"/>
      <w:b/>
    </w:rPr>
  </w:style>
  <w:style w:type="character" w:customStyle="1" w:styleId="ListLabel2">
    <w:name w:val="ListLabel 2"/>
    <w:qFormat/>
    <w:rsid w:val="009C352D"/>
    <w:rPr>
      <w:rFonts w:cs="Courier New"/>
    </w:rPr>
  </w:style>
  <w:style w:type="character" w:customStyle="1" w:styleId="ListLabel4">
    <w:name w:val="ListLabel 4"/>
    <w:qFormat/>
    <w:rsid w:val="009C352D"/>
    <w:rPr>
      <w:rFonts w:ascii="Garamond" w:hAnsi="Garamond" w:cs="Times New Roman"/>
      <w:bCs/>
    </w:rPr>
  </w:style>
  <w:style w:type="character" w:customStyle="1" w:styleId="Caracteresdenotafinal">
    <w:name w:val="Caracteres de nota final"/>
    <w:qFormat/>
    <w:rsid w:val="009C352D"/>
  </w:style>
  <w:style w:type="paragraph" w:styleId="Textoindependiente">
    <w:name w:val="Body Text"/>
    <w:basedOn w:val="Normal"/>
    <w:link w:val="TextoindependienteCar"/>
    <w:rsid w:val="009C352D"/>
    <w:pPr>
      <w:spacing w:after="140"/>
    </w:pPr>
    <w:rPr>
      <w:sz w:val="24"/>
      <w:szCs w:val="24"/>
      <w:lang w:val="de-DE"/>
    </w:rPr>
  </w:style>
  <w:style w:type="character" w:customStyle="1" w:styleId="TextoindependienteCar">
    <w:name w:val="Texto independiente Car"/>
    <w:basedOn w:val="Fuentedeprrafopredeter"/>
    <w:link w:val="Textoindependiente"/>
    <w:rsid w:val="009C352D"/>
    <w:rPr>
      <w:sz w:val="24"/>
      <w:szCs w:val="24"/>
      <w:lang w:val="de-DE"/>
    </w:rPr>
  </w:style>
  <w:style w:type="paragraph" w:styleId="Lista">
    <w:name w:val="List"/>
    <w:basedOn w:val="Textoindependiente"/>
    <w:rsid w:val="009C352D"/>
    <w:rPr>
      <w:rFonts w:cs="Arial"/>
    </w:rPr>
  </w:style>
  <w:style w:type="paragraph" w:styleId="Epgrafe">
    <w:name w:val="caption"/>
    <w:basedOn w:val="Normal"/>
    <w:qFormat/>
    <w:rsid w:val="009C352D"/>
    <w:pPr>
      <w:suppressLineNumbers/>
      <w:spacing w:before="120" w:after="120" w:line="240" w:lineRule="auto"/>
    </w:pPr>
    <w:rPr>
      <w:rFonts w:cs="Arial"/>
      <w:i/>
      <w:iCs/>
      <w:sz w:val="24"/>
      <w:szCs w:val="24"/>
      <w:lang w:val="de-DE"/>
    </w:rPr>
  </w:style>
  <w:style w:type="paragraph" w:customStyle="1" w:styleId="ndice">
    <w:name w:val="Índice"/>
    <w:basedOn w:val="Normal"/>
    <w:qFormat/>
    <w:rsid w:val="009C352D"/>
    <w:pPr>
      <w:suppressLineNumbers/>
      <w:spacing w:after="0" w:line="240" w:lineRule="auto"/>
    </w:pPr>
    <w:rPr>
      <w:rFonts w:cs="Arial"/>
      <w:sz w:val="24"/>
      <w:szCs w:val="24"/>
      <w:lang w:val="de-DE"/>
    </w:rPr>
  </w:style>
  <w:style w:type="paragraph" w:styleId="TDC1">
    <w:name w:val="toc 1"/>
    <w:basedOn w:val="Normal"/>
    <w:next w:val="Normal"/>
    <w:autoRedefine/>
    <w:uiPriority w:val="39"/>
    <w:unhideWhenUsed/>
    <w:rsid w:val="009C352D"/>
    <w:pPr>
      <w:tabs>
        <w:tab w:val="right" w:leader="dot" w:pos="9090"/>
      </w:tabs>
      <w:spacing w:before="120" w:after="0" w:line="240" w:lineRule="auto"/>
    </w:pPr>
    <w:rPr>
      <w:b/>
      <w:sz w:val="24"/>
      <w:szCs w:val="24"/>
      <w:lang w:val="de-DE"/>
    </w:rPr>
  </w:style>
  <w:style w:type="paragraph" w:styleId="TDC2">
    <w:name w:val="toc 2"/>
    <w:basedOn w:val="Normal"/>
    <w:next w:val="Normal"/>
    <w:autoRedefine/>
    <w:uiPriority w:val="39"/>
    <w:unhideWhenUsed/>
    <w:rsid w:val="009C352D"/>
    <w:pPr>
      <w:spacing w:after="0" w:line="240" w:lineRule="auto"/>
      <w:ind w:left="240"/>
    </w:pPr>
    <w:rPr>
      <w:b/>
      <w:lang w:val="de-DE"/>
    </w:rPr>
  </w:style>
  <w:style w:type="paragraph" w:styleId="TDC3">
    <w:name w:val="toc 3"/>
    <w:basedOn w:val="Normal"/>
    <w:next w:val="Normal"/>
    <w:autoRedefine/>
    <w:uiPriority w:val="39"/>
    <w:unhideWhenUsed/>
    <w:rsid w:val="009C352D"/>
    <w:pPr>
      <w:spacing w:after="0" w:line="240" w:lineRule="auto"/>
      <w:ind w:left="480"/>
    </w:pPr>
    <w:rPr>
      <w:lang w:val="de-DE"/>
    </w:rPr>
  </w:style>
  <w:style w:type="paragraph" w:styleId="TDC4">
    <w:name w:val="toc 4"/>
    <w:basedOn w:val="Normal"/>
    <w:next w:val="Normal"/>
    <w:autoRedefine/>
    <w:uiPriority w:val="39"/>
    <w:unhideWhenUsed/>
    <w:rsid w:val="009C352D"/>
    <w:pPr>
      <w:spacing w:after="0" w:line="240" w:lineRule="auto"/>
      <w:ind w:left="720"/>
    </w:pPr>
    <w:rPr>
      <w:sz w:val="20"/>
      <w:szCs w:val="20"/>
      <w:lang w:val="de-DE"/>
    </w:rPr>
  </w:style>
  <w:style w:type="paragraph" w:styleId="TDC5">
    <w:name w:val="toc 5"/>
    <w:basedOn w:val="Normal"/>
    <w:next w:val="Normal"/>
    <w:autoRedefine/>
    <w:uiPriority w:val="39"/>
    <w:unhideWhenUsed/>
    <w:rsid w:val="009C352D"/>
    <w:pPr>
      <w:spacing w:after="0" w:line="240" w:lineRule="auto"/>
      <w:ind w:left="960"/>
    </w:pPr>
    <w:rPr>
      <w:sz w:val="20"/>
      <w:szCs w:val="20"/>
      <w:lang w:val="de-DE"/>
    </w:rPr>
  </w:style>
  <w:style w:type="paragraph" w:styleId="TDC6">
    <w:name w:val="toc 6"/>
    <w:basedOn w:val="Normal"/>
    <w:next w:val="Normal"/>
    <w:autoRedefine/>
    <w:uiPriority w:val="39"/>
    <w:unhideWhenUsed/>
    <w:rsid w:val="009C352D"/>
    <w:pPr>
      <w:spacing w:after="0" w:line="240" w:lineRule="auto"/>
      <w:ind w:left="1200"/>
    </w:pPr>
    <w:rPr>
      <w:sz w:val="20"/>
      <w:szCs w:val="20"/>
      <w:lang w:val="de-DE"/>
    </w:rPr>
  </w:style>
  <w:style w:type="paragraph" w:styleId="TDC7">
    <w:name w:val="toc 7"/>
    <w:basedOn w:val="Normal"/>
    <w:next w:val="Normal"/>
    <w:autoRedefine/>
    <w:uiPriority w:val="39"/>
    <w:unhideWhenUsed/>
    <w:rsid w:val="009C352D"/>
    <w:pPr>
      <w:spacing w:after="0" w:line="240" w:lineRule="auto"/>
      <w:ind w:left="1440"/>
    </w:pPr>
    <w:rPr>
      <w:sz w:val="20"/>
      <w:szCs w:val="20"/>
      <w:lang w:val="de-DE"/>
    </w:rPr>
  </w:style>
  <w:style w:type="paragraph" w:styleId="TDC8">
    <w:name w:val="toc 8"/>
    <w:basedOn w:val="Normal"/>
    <w:next w:val="Normal"/>
    <w:autoRedefine/>
    <w:uiPriority w:val="39"/>
    <w:unhideWhenUsed/>
    <w:rsid w:val="009C352D"/>
    <w:pPr>
      <w:spacing w:after="0" w:line="240" w:lineRule="auto"/>
      <w:ind w:left="1680"/>
    </w:pPr>
    <w:rPr>
      <w:sz w:val="20"/>
      <w:szCs w:val="20"/>
      <w:lang w:val="de-DE"/>
    </w:rPr>
  </w:style>
  <w:style w:type="paragraph" w:styleId="TDC9">
    <w:name w:val="toc 9"/>
    <w:basedOn w:val="Normal"/>
    <w:next w:val="Normal"/>
    <w:autoRedefine/>
    <w:uiPriority w:val="39"/>
    <w:unhideWhenUsed/>
    <w:rsid w:val="009C352D"/>
    <w:pPr>
      <w:spacing w:after="0" w:line="240" w:lineRule="auto"/>
      <w:ind w:left="1920"/>
    </w:pPr>
    <w:rPr>
      <w:sz w:val="20"/>
      <w:szCs w:val="20"/>
      <w:lang w:val="de-DE"/>
    </w:rPr>
  </w:style>
  <w:style w:type="paragraph" w:styleId="TtulodeTDC">
    <w:name w:val="TOC Heading"/>
    <w:basedOn w:val="Ttulo1"/>
    <w:next w:val="Normal"/>
    <w:uiPriority w:val="39"/>
    <w:unhideWhenUsed/>
    <w:qFormat/>
    <w:rsid w:val="009C352D"/>
    <w:pPr>
      <w:spacing w:after="240"/>
    </w:pPr>
    <w:rPr>
      <w:sz w:val="24"/>
      <w:szCs w:val="24"/>
      <w:lang w:eastAsia="es-ES"/>
    </w:rPr>
  </w:style>
  <w:style w:type="paragraph" w:customStyle="1" w:styleId="Contenidodelmarco">
    <w:name w:val="Contenido del marco"/>
    <w:basedOn w:val="Normal"/>
    <w:qFormat/>
    <w:rsid w:val="009C352D"/>
    <w:pPr>
      <w:spacing w:after="0" w:line="240" w:lineRule="auto"/>
    </w:pPr>
    <w:rPr>
      <w:sz w:val="24"/>
      <w:szCs w:val="24"/>
      <w:lang w:val="de-DE"/>
    </w:rPr>
  </w:style>
  <w:style w:type="character" w:customStyle="1" w:styleId="text">
    <w:name w:val="text"/>
    <w:basedOn w:val="Fuentedeprrafopredeter"/>
    <w:rsid w:val="009C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73">
      <w:bodyDiv w:val="1"/>
      <w:marLeft w:val="0"/>
      <w:marRight w:val="0"/>
      <w:marTop w:val="0"/>
      <w:marBottom w:val="0"/>
      <w:divBdr>
        <w:top w:val="none" w:sz="0" w:space="0" w:color="auto"/>
        <w:left w:val="none" w:sz="0" w:space="0" w:color="auto"/>
        <w:bottom w:val="none" w:sz="0" w:space="0" w:color="auto"/>
        <w:right w:val="none" w:sz="0" w:space="0" w:color="auto"/>
      </w:divBdr>
    </w:div>
    <w:div w:id="16005196">
      <w:bodyDiv w:val="1"/>
      <w:marLeft w:val="0"/>
      <w:marRight w:val="0"/>
      <w:marTop w:val="0"/>
      <w:marBottom w:val="0"/>
      <w:divBdr>
        <w:top w:val="none" w:sz="0" w:space="0" w:color="auto"/>
        <w:left w:val="none" w:sz="0" w:space="0" w:color="auto"/>
        <w:bottom w:val="none" w:sz="0" w:space="0" w:color="auto"/>
        <w:right w:val="none" w:sz="0" w:space="0" w:color="auto"/>
      </w:divBdr>
    </w:div>
    <w:div w:id="72941911">
      <w:bodyDiv w:val="1"/>
      <w:marLeft w:val="0"/>
      <w:marRight w:val="0"/>
      <w:marTop w:val="0"/>
      <w:marBottom w:val="0"/>
      <w:divBdr>
        <w:top w:val="none" w:sz="0" w:space="0" w:color="auto"/>
        <w:left w:val="none" w:sz="0" w:space="0" w:color="auto"/>
        <w:bottom w:val="none" w:sz="0" w:space="0" w:color="auto"/>
        <w:right w:val="none" w:sz="0" w:space="0" w:color="auto"/>
      </w:divBdr>
    </w:div>
    <w:div w:id="124930909">
      <w:bodyDiv w:val="1"/>
      <w:marLeft w:val="0"/>
      <w:marRight w:val="0"/>
      <w:marTop w:val="0"/>
      <w:marBottom w:val="0"/>
      <w:divBdr>
        <w:top w:val="none" w:sz="0" w:space="0" w:color="auto"/>
        <w:left w:val="none" w:sz="0" w:space="0" w:color="auto"/>
        <w:bottom w:val="none" w:sz="0" w:space="0" w:color="auto"/>
        <w:right w:val="none" w:sz="0" w:space="0" w:color="auto"/>
      </w:divBdr>
    </w:div>
    <w:div w:id="131336058">
      <w:bodyDiv w:val="1"/>
      <w:marLeft w:val="0"/>
      <w:marRight w:val="0"/>
      <w:marTop w:val="0"/>
      <w:marBottom w:val="0"/>
      <w:divBdr>
        <w:top w:val="none" w:sz="0" w:space="0" w:color="auto"/>
        <w:left w:val="none" w:sz="0" w:space="0" w:color="auto"/>
        <w:bottom w:val="none" w:sz="0" w:space="0" w:color="auto"/>
        <w:right w:val="none" w:sz="0" w:space="0" w:color="auto"/>
      </w:divBdr>
      <w:divsChild>
        <w:div w:id="1013146245">
          <w:marLeft w:val="0"/>
          <w:marRight w:val="0"/>
          <w:marTop w:val="0"/>
          <w:marBottom w:val="0"/>
          <w:divBdr>
            <w:top w:val="none" w:sz="0" w:space="0" w:color="auto"/>
            <w:left w:val="none" w:sz="0" w:space="0" w:color="auto"/>
            <w:bottom w:val="none" w:sz="0" w:space="0" w:color="auto"/>
            <w:right w:val="none" w:sz="0" w:space="0" w:color="auto"/>
          </w:divBdr>
          <w:divsChild>
            <w:div w:id="1958022430">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34567573">
      <w:bodyDiv w:val="1"/>
      <w:marLeft w:val="0"/>
      <w:marRight w:val="0"/>
      <w:marTop w:val="0"/>
      <w:marBottom w:val="0"/>
      <w:divBdr>
        <w:top w:val="none" w:sz="0" w:space="0" w:color="auto"/>
        <w:left w:val="none" w:sz="0" w:space="0" w:color="auto"/>
        <w:bottom w:val="none" w:sz="0" w:space="0" w:color="auto"/>
        <w:right w:val="none" w:sz="0" w:space="0" w:color="auto"/>
      </w:divBdr>
    </w:div>
    <w:div w:id="146172850">
      <w:bodyDiv w:val="1"/>
      <w:marLeft w:val="0"/>
      <w:marRight w:val="0"/>
      <w:marTop w:val="0"/>
      <w:marBottom w:val="0"/>
      <w:divBdr>
        <w:top w:val="none" w:sz="0" w:space="0" w:color="auto"/>
        <w:left w:val="none" w:sz="0" w:space="0" w:color="auto"/>
        <w:bottom w:val="none" w:sz="0" w:space="0" w:color="auto"/>
        <w:right w:val="none" w:sz="0" w:space="0" w:color="auto"/>
      </w:divBdr>
    </w:div>
    <w:div w:id="152067195">
      <w:bodyDiv w:val="1"/>
      <w:marLeft w:val="0"/>
      <w:marRight w:val="0"/>
      <w:marTop w:val="0"/>
      <w:marBottom w:val="0"/>
      <w:divBdr>
        <w:top w:val="none" w:sz="0" w:space="0" w:color="auto"/>
        <w:left w:val="none" w:sz="0" w:space="0" w:color="auto"/>
        <w:bottom w:val="none" w:sz="0" w:space="0" w:color="auto"/>
        <w:right w:val="none" w:sz="0" w:space="0" w:color="auto"/>
      </w:divBdr>
      <w:divsChild>
        <w:div w:id="1097749778">
          <w:marLeft w:val="0"/>
          <w:marRight w:val="0"/>
          <w:marTop w:val="0"/>
          <w:marBottom w:val="0"/>
          <w:divBdr>
            <w:top w:val="none" w:sz="0" w:space="0" w:color="auto"/>
            <w:left w:val="none" w:sz="0" w:space="0" w:color="auto"/>
            <w:bottom w:val="none" w:sz="0" w:space="0" w:color="auto"/>
            <w:right w:val="none" w:sz="0" w:space="0" w:color="auto"/>
          </w:divBdr>
          <w:divsChild>
            <w:div w:id="605189367">
              <w:marLeft w:val="525"/>
              <w:marRight w:val="0"/>
              <w:marTop w:val="300"/>
              <w:marBottom w:val="0"/>
              <w:divBdr>
                <w:top w:val="none" w:sz="0" w:space="0" w:color="auto"/>
                <w:left w:val="none" w:sz="0" w:space="0" w:color="auto"/>
                <w:bottom w:val="none" w:sz="0" w:space="0" w:color="auto"/>
                <w:right w:val="none" w:sz="0" w:space="0" w:color="auto"/>
              </w:divBdr>
              <w:divsChild>
                <w:div w:id="334111020">
                  <w:marLeft w:val="0"/>
                  <w:marRight w:val="0"/>
                  <w:marTop w:val="0"/>
                  <w:marBottom w:val="0"/>
                  <w:divBdr>
                    <w:top w:val="none" w:sz="0" w:space="0" w:color="auto"/>
                    <w:left w:val="none" w:sz="0" w:space="0" w:color="auto"/>
                    <w:bottom w:val="none" w:sz="0" w:space="0" w:color="auto"/>
                    <w:right w:val="none" w:sz="0" w:space="0" w:color="auto"/>
                  </w:divBdr>
                  <w:divsChild>
                    <w:div w:id="94593548">
                      <w:marLeft w:val="0"/>
                      <w:marRight w:val="0"/>
                      <w:marTop w:val="0"/>
                      <w:marBottom w:val="0"/>
                      <w:divBdr>
                        <w:top w:val="none" w:sz="0" w:space="0" w:color="auto"/>
                        <w:left w:val="none" w:sz="0" w:space="0" w:color="auto"/>
                        <w:bottom w:val="none" w:sz="0" w:space="0" w:color="auto"/>
                        <w:right w:val="none" w:sz="0" w:space="0" w:color="auto"/>
                      </w:divBdr>
                      <w:divsChild>
                        <w:div w:id="1779062830">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 w:id="152456325">
      <w:bodyDiv w:val="1"/>
      <w:marLeft w:val="0"/>
      <w:marRight w:val="0"/>
      <w:marTop w:val="0"/>
      <w:marBottom w:val="0"/>
      <w:divBdr>
        <w:top w:val="none" w:sz="0" w:space="0" w:color="auto"/>
        <w:left w:val="none" w:sz="0" w:space="0" w:color="auto"/>
        <w:bottom w:val="none" w:sz="0" w:space="0" w:color="auto"/>
        <w:right w:val="none" w:sz="0" w:space="0" w:color="auto"/>
      </w:divBdr>
    </w:div>
    <w:div w:id="164322144">
      <w:bodyDiv w:val="1"/>
      <w:marLeft w:val="0"/>
      <w:marRight w:val="0"/>
      <w:marTop w:val="0"/>
      <w:marBottom w:val="0"/>
      <w:divBdr>
        <w:top w:val="none" w:sz="0" w:space="0" w:color="auto"/>
        <w:left w:val="none" w:sz="0" w:space="0" w:color="auto"/>
        <w:bottom w:val="none" w:sz="0" w:space="0" w:color="auto"/>
        <w:right w:val="none" w:sz="0" w:space="0" w:color="auto"/>
      </w:divBdr>
    </w:div>
    <w:div w:id="187069631">
      <w:bodyDiv w:val="1"/>
      <w:marLeft w:val="0"/>
      <w:marRight w:val="0"/>
      <w:marTop w:val="0"/>
      <w:marBottom w:val="0"/>
      <w:divBdr>
        <w:top w:val="none" w:sz="0" w:space="0" w:color="auto"/>
        <w:left w:val="none" w:sz="0" w:space="0" w:color="auto"/>
        <w:bottom w:val="none" w:sz="0" w:space="0" w:color="auto"/>
        <w:right w:val="none" w:sz="0" w:space="0" w:color="auto"/>
      </w:divBdr>
    </w:div>
    <w:div w:id="194925384">
      <w:bodyDiv w:val="1"/>
      <w:marLeft w:val="0"/>
      <w:marRight w:val="0"/>
      <w:marTop w:val="0"/>
      <w:marBottom w:val="0"/>
      <w:divBdr>
        <w:top w:val="none" w:sz="0" w:space="0" w:color="auto"/>
        <w:left w:val="none" w:sz="0" w:space="0" w:color="auto"/>
        <w:bottom w:val="none" w:sz="0" w:space="0" w:color="auto"/>
        <w:right w:val="none" w:sz="0" w:space="0" w:color="auto"/>
      </w:divBdr>
    </w:div>
    <w:div w:id="214703309">
      <w:bodyDiv w:val="1"/>
      <w:marLeft w:val="0"/>
      <w:marRight w:val="0"/>
      <w:marTop w:val="0"/>
      <w:marBottom w:val="0"/>
      <w:divBdr>
        <w:top w:val="none" w:sz="0" w:space="0" w:color="auto"/>
        <w:left w:val="none" w:sz="0" w:space="0" w:color="auto"/>
        <w:bottom w:val="none" w:sz="0" w:space="0" w:color="auto"/>
        <w:right w:val="none" w:sz="0" w:space="0" w:color="auto"/>
      </w:divBdr>
    </w:div>
    <w:div w:id="285233783">
      <w:bodyDiv w:val="1"/>
      <w:marLeft w:val="0"/>
      <w:marRight w:val="0"/>
      <w:marTop w:val="0"/>
      <w:marBottom w:val="0"/>
      <w:divBdr>
        <w:top w:val="none" w:sz="0" w:space="0" w:color="auto"/>
        <w:left w:val="none" w:sz="0" w:space="0" w:color="auto"/>
        <w:bottom w:val="none" w:sz="0" w:space="0" w:color="auto"/>
        <w:right w:val="none" w:sz="0" w:space="0" w:color="auto"/>
      </w:divBdr>
    </w:div>
    <w:div w:id="301466856">
      <w:bodyDiv w:val="1"/>
      <w:marLeft w:val="0"/>
      <w:marRight w:val="0"/>
      <w:marTop w:val="0"/>
      <w:marBottom w:val="0"/>
      <w:divBdr>
        <w:top w:val="none" w:sz="0" w:space="0" w:color="auto"/>
        <w:left w:val="none" w:sz="0" w:space="0" w:color="auto"/>
        <w:bottom w:val="none" w:sz="0" w:space="0" w:color="auto"/>
        <w:right w:val="none" w:sz="0" w:space="0" w:color="auto"/>
      </w:divBdr>
    </w:div>
    <w:div w:id="346174622">
      <w:bodyDiv w:val="1"/>
      <w:marLeft w:val="0"/>
      <w:marRight w:val="0"/>
      <w:marTop w:val="0"/>
      <w:marBottom w:val="0"/>
      <w:divBdr>
        <w:top w:val="none" w:sz="0" w:space="0" w:color="auto"/>
        <w:left w:val="none" w:sz="0" w:space="0" w:color="auto"/>
        <w:bottom w:val="none" w:sz="0" w:space="0" w:color="auto"/>
        <w:right w:val="none" w:sz="0" w:space="0" w:color="auto"/>
      </w:divBdr>
    </w:div>
    <w:div w:id="351803624">
      <w:bodyDiv w:val="1"/>
      <w:marLeft w:val="0"/>
      <w:marRight w:val="0"/>
      <w:marTop w:val="0"/>
      <w:marBottom w:val="0"/>
      <w:divBdr>
        <w:top w:val="none" w:sz="0" w:space="0" w:color="auto"/>
        <w:left w:val="none" w:sz="0" w:space="0" w:color="auto"/>
        <w:bottom w:val="none" w:sz="0" w:space="0" w:color="auto"/>
        <w:right w:val="none" w:sz="0" w:space="0" w:color="auto"/>
      </w:divBdr>
    </w:div>
    <w:div w:id="354574387">
      <w:bodyDiv w:val="1"/>
      <w:marLeft w:val="0"/>
      <w:marRight w:val="0"/>
      <w:marTop w:val="0"/>
      <w:marBottom w:val="0"/>
      <w:divBdr>
        <w:top w:val="none" w:sz="0" w:space="0" w:color="auto"/>
        <w:left w:val="none" w:sz="0" w:space="0" w:color="auto"/>
        <w:bottom w:val="none" w:sz="0" w:space="0" w:color="auto"/>
        <w:right w:val="none" w:sz="0" w:space="0" w:color="auto"/>
      </w:divBdr>
    </w:div>
    <w:div w:id="368454183">
      <w:bodyDiv w:val="1"/>
      <w:marLeft w:val="0"/>
      <w:marRight w:val="0"/>
      <w:marTop w:val="0"/>
      <w:marBottom w:val="0"/>
      <w:divBdr>
        <w:top w:val="none" w:sz="0" w:space="0" w:color="auto"/>
        <w:left w:val="none" w:sz="0" w:space="0" w:color="auto"/>
        <w:bottom w:val="none" w:sz="0" w:space="0" w:color="auto"/>
        <w:right w:val="none" w:sz="0" w:space="0" w:color="auto"/>
      </w:divBdr>
    </w:div>
    <w:div w:id="372120667">
      <w:bodyDiv w:val="1"/>
      <w:marLeft w:val="0"/>
      <w:marRight w:val="0"/>
      <w:marTop w:val="0"/>
      <w:marBottom w:val="0"/>
      <w:divBdr>
        <w:top w:val="none" w:sz="0" w:space="0" w:color="auto"/>
        <w:left w:val="none" w:sz="0" w:space="0" w:color="auto"/>
        <w:bottom w:val="none" w:sz="0" w:space="0" w:color="auto"/>
        <w:right w:val="none" w:sz="0" w:space="0" w:color="auto"/>
      </w:divBdr>
      <w:divsChild>
        <w:div w:id="1148861652">
          <w:marLeft w:val="0"/>
          <w:marRight w:val="0"/>
          <w:marTop w:val="0"/>
          <w:marBottom w:val="0"/>
          <w:divBdr>
            <w:top w:val="none" w:sz="0" w:space="0" w:color="auto"/>
            <w:left w:val="none" w:sz="0" w:space="0" w:color="auto"/>
            <w:bottom w:val="none" w:sz="0" w:space="0" w:color="auto"/>
            <w:right w:val="none" w:sz="0" w:space="0" w:color="auto"/>
          </w:divBdr>
          <w:divsChild>
            <w:div w:id="1040208867">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395975610">
      <w:bodyDiv w:val="1"/>
      <w:marLeft w:val="0"/>
      <w:marRight w:val="0"/>
      <w:marTop w:val="0"/>
      <w:marBottom w:val="0"/>
      <w:divBdr>
        <w:top w:val="none" w:sz="0" w:space="0" w:color="auto"/>
        <w:left w:val="none" w:sz="0" w:space="0" w:color="auto"/>
        <w:bottom w:val="none" w:sz="0" w:space="0" w:color="auto"/>
        <w:right w:val="none" w:sz="0" w:space="0" w:color="auto"/>
      </w:divBdr>
      <w:divsChild>
        <w:div w:id="1703824368">
          <w:marLeft w:val="0"/>
          <w:marRight w:val="0"/>
          <w:marTop w:val="0"/>
          <w:marBottom w:val="0"/>
          <w:divBdr>
            <w:top w:val="none" w:sz="0" w:space="0" w:color="auto"/>
            <w:left w:val="none" w:sz="0" w:space="0" w:color="auto"/>
            <w:bottom w:val="none" w:sz="0" w:space="0" w:color="auto"/>
            <w:right w:val="none" w:sz="0" w:space="0" w:color="auto"/>
          </w:divBdr>
          <w:divsChild>
            <w:div w:id="1956791480">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413431650">
      <w:bodyDiv w:val="1"/>
      <w:marLeft w:val="0"/>
      <w:marRight w:val="0"/>
      <w:marTop w:val="0"/>
      <w:marBottom w:val="0"/>
      <w:divBdr>
        <w:top w:val="none" w:sz="0" w:space="0" w:color="auto"/>
        <w:left w:val="none" w:sz="0" w:space="0" w:color="auto"/>
        <w:bottom w:val="none" w:sz="0" w:space="0" w:color="auto"/>
        <w:right w:val="none" w:sz="0" w:space="0" w:color="auto"/>
      </w:divBdr>
    </w:div>
    <w:div w:id="419764614">
      <w:bodyDiv w:val="1"/>
      <w:marLeft w:val="0"/>
      <w:marRight w:val="0"/>
      <w:marTop w:val="0"/>
      <w:marBottom w:val="0"/>
      <w:divBdr>
        <w:top w:val="none" w:sz="0" w:space="0" w:color="auto"/>
        <w:left w:val="none" w:sz="0" w:space="0" w:color="auto"/>
        <w:bottom w:val="none" w:sz="0" w:space="0" w:color="auto"/>
        <w:right w:val="none" w:sz="0" w:space="0" w:color="auto"/>
      </w:divBdr>
    </w:div>
    <w:div w:id="451679368">
      <w:bodyDiv w:val="1"/>
      <w:marLeft w:val="0"/>
      <w:marRight w:val="0"/>
      <w:marTop w:val="0"/>
      <w:marBottom w:val="0"/>
      <w:divBdr>
        <w:top w:val="none" w:sz="0" w:space="0" w:color="auto"/>
        <w:left w:val="none" w:sz="0" w:space="0" w:color="auto"/>
        <w:bottom w:val="none" w:sz="0" w:space="0" w:color="auto"/>
        <w:right w:val="none" w:sz="0" w:space="0" w:color="auto"/>
      </w:divBdr>
    </w:div>
    <w:div w:id="482894081">
      <w:bodyDiv w:val="1"/>
      <w:marLeft w:val="0"/>
      <w:marRight w:val="0"/>
      <w:marTop w:val="0"/>
      <w:marBottom w:val="0"/>
      <w:divBdr>
        <w:top w:val="none" w:sz="0" w:space="0" w:color="auto"/>
        <w:left w:val="none" w:sz="0" w:space="0" w:color="auto"/>
        <w:bottom w:val="none" w:sz="0" w:space="0" w:color="auto"/>
        <w:right w:val="none" w:sz="0" w:space="0" w:color="auto"/>
      </w:divBdr>
    </w:div>
    <w:div w:id="507525435">
      <w:bodyDiv w:val="1"/>
      <w:marLeft w:val="0"/>
      <w:marRight w:val="0"/>
      <w:marTop w:val="0"/>
      <w:marBottom w:val="0"/>
      <w:divBdr>
        <w:top w:val="none" w:sz="0" w:space="0" w:color="auto"/>
        <w:left w:val="none" w:sz="0" w:space="0" w:color="auto"/>
        <w:bottom w:val="none" w:sz="0" w:space="0" w:color="auto"/>
        <w:right w:val="none" w:sz="0" w:space="0" w:color="auto"/>
      </w:divBdr>
    </w:div>
    <w:div w:id="531765370">
      <w:bodyDiv w:val="1"/>
      <w:marLeft w:val="0"/>
      <w:marRight w:val="0"/>
      <w:marTop w:val="0"/>
      <w:marBottom w:val="0"/>
      <w:divBdr>
        <w:top w:val="none" w:sz="0" w:space="0" w:color="auto"/>
        <w:left w:val="none" w:sz="0" w:space="0" w:color="auto"/>
        <w:bottom w:val="none" w:sz="0" w:space="0" w:color="auto"/>
        <w:right w:val="none" w:sz="0" w:space="0" w:color="auto"/>
      </w:divBdr>
    </w:div>
    <w:div w:id="539172974">
      <w:bodyDiv w:val="1"/>
      <w:marLeft w:val="0"/>
      <w:marRight w:val="0"/>
      <w:marTop w:val="0"/>
      <w:marBottom w:val="0"/>
      <w:divBdr>
        <w:top w:val="none" w:sz="0" w:space="0" w:color="auto"/>
        <w:left w:val="none" w:sz="0" w:space="0" w:color="auto"/>
        <w:bottom w:val="none" w:sz="0" w:space="0" w:color="auto"/>
        <w:right w:val="none" w:sz="0" w:space="0" w:color="auto"/>
      </w:divBdr>
    </w:div>
    <w:div w:id="564532600">
      <w:bodyDiv w:val="1"/>
      <w:marLeft w:val="0"/>
      <w:marRight w:val="0"/>
      <w:marTop w:val="0"/>
      <w:marBottom w:val="0"/>
      <w:divBdr>
        <w:top w:val="none" w:sz="0" w:space="0" w:color="auto"/>
        <w:left w:val="none" w:sz="0" w:space="0" w:color="auto"/>
        <w:bottom w:val="none" w:sz="0" w:space="0" w:color="auto"/>
        <w:right w:val="none" w:sz="0" w:space="0" w:color="auto"/>
      </w:divBdr>
      <w:divsChild>
        <w:div w:id="174810939">
          <w:marLeft w:val="0"/>
          <w:marRight w:val="0"/>
          <w:marTop w:val="0"/>
          <w:marBottom w:val="0"/>
          <w:divBdr>
            <w:top w:val="none" w:sz="0" w:space="0" w:color="auto"/>
            <w:left w:val="none" w:sz="0" w:space="0" w:color="auto"/>
            <w:bottom w:val="none" w:sz="0" w:space="0" w:color="auto"/>
            <w:right w:val="none" w:sz="0" w:space="0" w:color="auto"/>
          </w:divBdr>
          <w:divsChild>
            <w:div w:id="1652560434">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573855428">
      <w:bodyDiv w:val="1"/>
      <w:marLeft w:val="0"/>
      <w:marRight w:val="0"/>
      <w:marTop w:val="0"/>
      <w:marBottom w:val="0"/>
      <w:divBdr>
        <w:top w:val="none" w:sz="0" w:space="0" w:color="auto"/>
        <w:left w:val="none" w:sz="0" w:space="0" w:color="auto"/>
        <w:bottom w:val="none" w:sz="0" w:space="0" w:color="auto"/>
        <w:right w:val="none" w:sz="0" w:space="0" w:color="auto"/>
      </w:divBdr>
    </w:div>
    <w:div w:id="608585245">
      <w:bodyDiv w:val="1"/>
      <w:marLeft w:val="0"/>
      <w:marRight w:val="0"/>
      <w:marTop w:val="0"/>
      <w:marBottom w:val="0"/>
      <w:divBdr>
        <w:top w:val="none" w:sz="0" w:space="0" w:color="auto"/>
        <w:left w:val="none" w:sz="0" w:space="0" w:color="auto"/>
        <w:bottom w:val="none" w:sz="0" w:space="0" w:color="auto"/>
        <w:right w:val="none" w:sz="0" w:space="0" w:color="auto"/>
      </w:divBdr>
    </w:div>
    <w:div w:id="611480447">
      <w:bodyDiv w:val="1"/>
      <w:marLeft w:val="0"/>
      <w:marRight w:val="0"/>
      <w:marTop w:val="0"/>
      <w:marBottom w:val="0"/>
      <w:divBdr>
        <w:top w:val="none" w:sz="0" w:space="0" w:color="auto"/>
        <w:left w:val="none" w:sz="0" w:space="0" w:color="auto"/>
        <w:bottom w:val="none" w:sz="0" w:space="0" w:color="auto"/>
        <w:right w:val="none" w:sz="0" w:space="0" w:color="auto"/>
      </w:divBdr>
    </w:div>
    <w:div w:id="622425473">
      <w:bodyDiv w:val="1"/>
      <w:marLeft w:val="0"/>
      <w:marRight w:val="0"/>
      <w:marTop w:val="0"/>
      <w:marBottom w:val="0"/>
      <w:divBdr>
        <w:top w:val="none" w:sz="0" w:space="0" w:color="auto"/>
        <w:left w:val="none" w:sz="0" w:space="0" w:color="auto"/>
        <w:bottom w:val="none" w:sz="0" w:space="0" w:color="auto"/>
        <w:right w:val="none" w:sz="0" w:space="0" w:color="auto"/>
      </w:divBdr>
      <w:divsChild>
        <w:div w:id="1017538388">
          <w:marLeft w:val="0"/>
          <w:marRight w:val="0"/>
          <w:marTop w:val="0"/>
          <w:marBottom w:val="0"/>
          <w:divBdr>
            <w:top w:val="none" w:sz="0" w:space="0" w:color="auto"/>
            <w:left w:val="none" w:sz="0" w:space="0" w:color="auto"/>
            <w:bottom w:val="none" w:sz="0" w:space="0" w:color="auto"/>
            <w:right w:val="none" w:sz="0" w:space="0" w:color="auto"/>
          </w:divBdr>
          <w:divsChild>
            <w:div w:id="1046759701">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636758274">
      <w:bodyDiv w:val="1"/>
      <w:marLeft w:val="0"/>
      <w:marRight w:val="0"/>
      <w:marTop w:val="0"/>
      <w:marBottom w:val="0"/>
      <w:divBdr>
        <w:top w:val="none" w:sz="0" w:space="0" w:color="auto"/>
        <w:left w:val="none" w:sz="0" w:space="0" w:color="auto"/>
        <w:bottom w:val="none" w:sz="0" w:space="0" w:color="auto"/>
        <w:right w:val="none" w:sz="0" w:space="0" w:color="auto"/>
      </w:divBdr>
    </w:div>
    <w:div w:id="655307729">
      <w:bodyDiv w:val="1"/>
      <w:marLeft w:val="0"/>
      <w:marRight w:val="0"/>
      <w:marTop w:val="0"/>
      <w:marBottom w:val="0"/>
      <w:divBdr>
        <w:top w:val="none" w:sz="0" w:space="0" w:color="auto"/>
        <w:left w:val="none" w:sz="0" w:space="0" w:color="auto"/>
        <w:bottom w:val="none" w:sz="0" w:space="0" w:color="auto"/>
        <w:right w:val="none" w:sz="0" w:space="0" w:color="auto"/>
      </w:divBdr>
    </w:div>
    <w:div w:id="696734749">
      <w:bodyDiv w:val="1"/>
      <w:marLeft w:val="0"/>
      <w:marRight w:val="0"/>
      <w:marTop w:val="0"/>
      <w:marBottom w:val="0"/>
      <w:divBdr>
        <w:top w:val="none" w:sz="0" w:space="0" w:color="auto"/>
        <w:left w:val="none" w:sz="0" w:space="0" w:color="auto"/>
        <w:bottom w:val="none" w:sz="0" w:space="0" w:color="auto"/>
        <w:right w:val="none" w:sz="0" w:space="0" w:color="auto"/>
      </w:divBdr>
    </w:div>
    <w:div w:id="706374794">
      <w:bodyDiv w:val="1"/>
      <w:marLeft w:val="0"/>
      <w:marRight w:val="0"/>
      <w:marTop w:val="0"/>
      <w:marBottom w:val="0"/>
      <w:divBdr>
        <w:top w:val="none" w:sz="0" w:space="0" w:color="auto"/>
        <w:left w:val="none" w:sz="0" w:space="0" w:color="auto"/>
        <w:bottom w:val="none" w:sz="0" w:space="0" w:color="auto"/>
        <w:right w:val="none" w:sz="0" w:space="0" w:color="auto"/>
      </w:divBdr>
      <w:divsChild>
        <w:div w:id="1325621252">
          <w:marLeft w:val="0"/>
          <w:marRight w:val="0"/>
          <w:marTop w:val="0"/>
          <w:marBottom w:val="0"/>
          <w:divBdr>
            <w:top w:val="none" w:sz="0" w:space="0" w:color="auto"/>
            <w:left w:val="none" w:sz="0" w:space="0" w:color="auto"/>
            <w:bottom w:val="none" w:sz="0" w:space="0" w:color="auto"/>
            <w:right w:val="none" w:sz="0" w:space="0" w:color="auto"/>
          </w:divBdr>
          <w:divsChild>
            <w:div w:id="1449470824">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725566687">
      <w:bodyDiv w:val="1"/>
      <w:marLeft w:val="0"/>
      <w:marRight w:val="0"/>
      <w:marTop w:val="0"/>
      <w:marBottom w:val="0"/>
      <w:divBdr>
        <w:top w:val="none" w:sz="0" w:space="0" w:color="auto"/>
        <w:left w:val="none" w:sz="0" w:space="0" w:color="auto"/>
        <w:bottom w:val="none" w:sz="0" w:space="0" w:color="auto"/>
        <w:right w:val="none" w:sz="0" w:space="0" w:color="auto"/>
      </w:divBdr>
    </w:div>
    <w:div w:id="733360424">
      <w:bodyDiv w:val="1"/>
      <w:marLeft w:val="0"/>
      <w:marRight w:val="0"/>
      <w:marTop w:val="0"/>
      <w:marBottom w:val="0"/>
      <w:divBdr>
        <w:top w:val="none" w:sz="0" w:space="0" w:color="auto"/>
        <w:left w:val="none" w:sz="0" w:space="0" w:color="auto"/>
        <w:bottom w:val="none" w:sz="0" w:space="0" w:color="auto"/>
        <w:right w:val="none" w:sz="0" w:space="0" w:color="auto"/>
      </w:divBdr>
    </w:div>
    <w:div w:id="740712013">
      <w:bodyDiv w:val="1"/>
      <w:marLeft w:val="0"/>
      <w:marRight w:val="0"/>
      <w:marTop w:val="0"/>
      <w:marBottom w:val="0"/>
      <w:divBdr>
        <w:top w:val="none" w:sz="0" w:space="0" w:color="auto"/>
        <w:left w:val="none" w:sz="0" w:space="0" w:color="auto"/>
        <w:bottom w:val="none" w:sz="0" w:space="0" w:color="auto"/>
        <w:right w:val="none" w:sz="0" w:space="0" w:color="auto"/>
      </w:divBdr>
    </w:div>
    <w:div w:id="765735549">
      <w:bodyDiv w:val="1"/>
      <w:marLeft w:val="0"/>
      <w:marRight w:val="0"/>
      <w:marTop w:val="0"/>
      <w:marBottom w:val="0"/>
      <w:divBdr>
        <w:top w:val="none" w:sz="0" w:space="0" w:color="auto"/>
        <w:left w:val="none" w:sz="0" w:space="0" w:color="auto"/>
        <w:bottom w:val="none" w:sz="0" w:space="0" w:color="auto"/>
        <w:right w:val="none" w:sz="0" w:space="0" w:color="auto"/>
      </w:divBdr>
      <w:divsChild>
        <w:div w:id="1043363396">
          <w:marLeft w:val="0"/>
          <w:marRight w:val="0"/>
          <w:marTop w:val="0"/>
          <w:marBottom w:val="0"/>
          <w:divBdr>
            <w:top w:val="none" w:sz="0" w:space="0" w:color="auto"/>
            <w:left w:val="none" w:sz="0" w:space="0" w:color="auto"/>
            <w:bottom w:val="none" w:sz="0" w:space="0" w:color="auto"/>
            <w:right w:val="none" w:sz="0" w:space="0" w:color="auto"/>
          </w:divBdr>
          <w:divsChild>
            <w:div w:id="716274351">
              <w:marLeft w:val="525"/>
              <w:marRight w:val="0"/>
              <w:marTop w:val="300"/>
              <w:marBottom w:val="0"/>
              <w:divBdr>
                <w:top w:val="none" w:sz="0" w:space="0" w:color="auto"/>
                <w:left w:val="none" w:sz="0" w:space="0" w:color="auto"/>
                <w:bottom w:val="none" w:sz="0" w:space="0" w:color="auto"/>
                <w:right w:val="none" w:sz="0" w:space="0" w:color="auto"/>
              </w:divBdr>
              <w:divsChild>
                <w:div w:id="1719550501">
                  <w:marLeft w:val="0"/>
                  <w:marRight w:val="0"/>
                  <w:marTop w:val="0"/>
                  <w:marBottom w:val="0"/>
                  <w:divBdr>
                    <w:top w:val="none" w:sz="0" w:space="0" w:color="auto"/>
                    <w:left w:val="none" w:sz="0" w:space="0" w:color="auto"/>
                    <w:bottom w:val="none" w:sz="0" w:space="0" w:color="auto"/>
                    <w:right w:val="none" w:sz="0" w:space="0" w:color="auto"/>
                  </w:divBdr>
                  <w:divsChild>
                    <w:div w:id="1113094765">
                      <w:marLeft w:val="0"/>
                      <w:marRight w:val="0"/>
                      <w:marTop w:val="0"/>
                      <w:marBottom w:val="0"/>
                      <w:divBdr>
                        <w:top w:val="none" w:sz="0" w:space="0" w:color="auto"/>
                        <w:left w:val="none" w:sz="0" w:space="0" w:color="auto"/>
                        <w:bottom w:val="none" w:sz="0" w:space="0" w:color="auto"/>
                        <w:right w:val="none" w:sz="0" w:space="0" w:color="auto"/>
                      </w:divBdr>
                      <w:divsChild>
                        <w:div w:id="333801094">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 w:id="765925575">
      <w:bodyDiv w:val="1"/>
      <w:marLeft w:val="0"/>
      <w:marRight w:val="0"/>
      <w:marTop w:val="0"/>
      <w:marBottom w:val="0"/>
      <w:divBdr>
        <w:top w:val="none" w:sz="0" w:space="0" w:color="auto"/>
        <w:left w:val="none" w:sz="0" w:space="0" w:color="auto"/>
        <w:bottom w:val="none" w:sz="0" w:space="0" w:color="auto"/>
        <w:right w:val="none" w:sz="0" w:space="0" w:color="auto"/>
      </w:divBdr>
    </w:div>
    <w:div w:id="777915857">
      <w:bodyDiv w:val="1"/>
      <w:marLeft w:val="0"/>
      <w:marRight w:val="0"/>
      <w:marTop w:val="0"/>
      <w:marBottom w:val="0"/>
      <w:divBdr>
        <w:top w:val="none" w:sz="0" w:space="0" w:color="auto"/>
        <w:left w:val="none" w:sz="0" w:space="0" w:color="auto"/>
        <w:bottom w:val="none" w:sz="0" w:space="0" w:color="auto"/>
        <w:right w:val="none" w:sz="0" w:space="0" w:color="auto"/>
      </w:divBdr>
      <w:divsChild>
        <w:div w:id="1241332422">
          <w:marLeft w:val="0"/>
          <w:marRight w:val="0"/>
          <w:marTop w:val="0"/>
          <w:marBottom w:val="0"/>
          <w:divBdr>
            <w:top w:val="none" w:sz="0" w:space="0" w:color="auto"/>
            <w:left w:val="none" w:sz="0" w:space="0" w:color="auto"/>
            <w:bottom w:val="none" w:sz="0" w:space="0" w:color="auto"/>
            <w:right w:val="none" w:sz="0" w:space="0" w:color="auto"/>
          </w:divBdr>
          <w:divsChild>
            <w:div w:id="1668828274">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801576065">
      <w:bodyDiv w:val="1"/>
      <w:marLeft w:val="0"/>
      <w:marRight w:val="0"/>
      <w:marTop w:val="0"/>
      <w:marBottom w:val="0"/>
      <w:divBdr>
        <w:top w:val="none" w:sz="0" w:space="0" w:color="auto"/>
        <w:left w:val="none" w:sz="0" w:space="0" w:color="auto"/>
        <w:bottom w:val="none" w:sz="0" w:space="0" w:color="auto"/>
        <w:right w:val="none" w:sz="0" w:space="0" w:color="auto"/>
      </w:divBdr>
    </w:div>
    <w:div w:id="808590452">
      <w:bodyDiv w:val="1"/>
      <w:marLeft w:val="0"/>
      <w:marRight w:val="0"/>
      <w:marTop w:val="0"/>
      <w:marBottom w:val="0"/>
      <w:divBdr>
        <w:top w:val="none" w:sz="0" w:space="0" w:color="auto"/>
        <w:left w:val="none" w:sz="0" w:space="0" w:color="auto"/>
        <w:bottom w:val="none" w:sz="0" w:space="0" w:color="auto"/>
        <w:right w:val="none" w:sz="0" w:space="0" w:color="auto"/>
      </w:divBdr>
      <w:divsChild>
        <w:div w:id="259724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2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9578">
      <w:bodyDiv w:val="1"/>
      <w:marLeft w:val="0"/>
      <w:marRight w:val="0"/>
      <w:marTop w:val="0"/>
      <w:marBottom w:val="0"/>
      <w:divBdr>
        <w:top w:val="none" w:sz="0" w:space="0" w:color="auto"/>
        <w:left w:val="none" w:sz="0" w:space="0" w:color="auto"/>
        <w:bottom w:val="none" w:sz="0" w:space="0" w:color="auto"/>
        <w:right w:val="none" w:sz="0" w:space="0" w:color="auto"/>
      </w:divBdr>
    </w:div>
    <w:div w:id="848254000">
      <w:bodyDiv w:val="1"/>
      <w:marLeft w:val="0"/>
      <w:marRight w:val="0"/>
      <w:marTop w:val="0"/>
      <w:marBottom w:val="0"/>
      <w:divBdr>
        <w:top w:val="none" w:sz="0" w:space="0" w:color="auto"/>
        <w:left w:val="none" w:sz="0" w:space="0" w:color="auto"/>
        <w:bottom w:val="none" w:sz="0" w:space="0" w:color="auto"/>
        <w:right w:val="none" w:sz="0" w:space="0" w:color="auto"/>
      </w:divBdr>
      <w:divsChild>
        <w:div w:id="1397627646">
          <w:marLeft w:val="0"/>
          <w:marRight w:val="0"/>
          <w:marTop w:val="0"/>
          <w:marBottom w:val="0"/>
          <w:divBdr>
            <w:top w:val="none" w:sz="0" w:space="0" w:color="auto"/>
            <w:left w:val="none" w:sz="0" w:space="0" w:color="auto"/>
            <w:bottom w:val="none" w:sz="0" w:space="0" w:color="auto"/>
            <w:right w:val="none" w:sz="0" w:space="0" w:color="auto"/>
          </w:divBdr>
          <w:divsChild>
            <w:div w:id="1872570610">
              <w:marLeft w:val="525"/>
              <w:marRight w:val="0"/>
              <w:marTop w:val="300"/>
              <w:marBottom w:val="0"/>
              <w:divBdr>
                <w:top w:val="none" w:sz="0" w:space="0" w:color="auto"/>
                <w:left w:val="none" w:sz="0" w:space="0" w:color="auto"/>
                <w:bottom w:val="none" w:sz="0" w:space="0" w:color="auto"/>
                <w:right w:val="none" w:sz="0" w:space="0" w:color="auto"/>
              </w:divBdr>
              <w:divsChild>
                <w:div w:id="510528636">
                  <w:marLeft w:val="0"/>
                  <w:marRight w:val="0"/>
                  <w:marTop w:val="0"/>
                  <w:marBottom w:val="0"/>
                  <w:divBdr>
                    <w:top w:val="none" w:sz="0" w:space="0" w:color="auto"/>
                    <w:left w:val="none" w:sz="0" w:space="0" w:color="auto"/>
                    <w:bottom w:val="none" w:sz="0" w:space="0" w:color="auto"/>
                    <w:right w:val="none" w:sz="0" w:space="0" w:color="auto"/>
                  </w:divBdr>
                  <w:divsChild>
                    <w:div w:id="1076049044">
                      <w:marLeft w:val="0"/>
                      <w:marRight w:val="0"/>
                      <w:marTop w:val="0"/>
                      <w:marBottom w:val="0"/>
                      <w:divBdr>
                        <w:top w:val="none" w:sz="0" w:space="0" w:color="auto"/>
                        <w:left w:val="none" w:sz="0" w:space="0" w:color="auto"/>
                        <w:bottom w:val="none" w:sz="0" w:space="0" w:color="auto"/>
                        <w:right w:val="none" w:sz="0" w:space="0" w:color="auto"/>
                      </w:divBdr>
                      <w:divsChild>
                        <w:div w:id="1337269051">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 w:id="852452376">
      <w:bodyDiv w:val="1"/>
      <w:marLeft w:val="0"/>
      <w:marRight w:val="0"/>
      <w:marTop w:val="0"/>
      <w:marBottom w:val="0"/>
      <w:divBdr>
        <w:top w:val="none" w:sz="0" w:space="0" w:color="auto"/>
        <w:left w:val="none" w:sz="0" w:space="0" w:color="auto"/>
        <w:bottom w:val="none" w:sz="0" w:space="0" w:color="auto"/>
        <w:right w:val="none" w:sz="0" w:space="0" w:color="auto"/>
      </w:divBdr>
    </w:div>
    <w:div w:id="865758100">
      <w:bodyDiv w:val="1"/>
      <w:marLeft w:val="0"/>
      <w:marRight w:val="0"/>
      <w:marTop w:val="0"/>
      <w:marBottom w:val="0"/>
      <w:divBdr>
        <w:top w:val="none" w:sz="0" w:space="0" w:color="auto"/>
        <w:left w:val="none" w:sz="0" w:space="0" w:color="auto"/>
        <w:bottom w:val="none" w:sz="0" w:space="0" w:color="auto"/>
        <w:right w:val="none" w:sz="0" w:space="0" w:color="auto"/>
      </w:divBdr>
    </w:div>
    <w:div w:id="875628382">
      <w:bodyDiv w:val="1"/>
      <w:marLeft w:val="0"/>
      <w:marRight w:val="0"/>
      <w:marTop w:val="0"/>
      <w:marBottom w:val="0"/>
      <w:divBdr>
        <w:top w:val="none" w:sz="0" w:space="0" w:color="auto"/>
        <w:left w:val="none" w:sz="0" w:space="0" w:color="auto"/>
        <w:bottom w:val="none" w:sz="0" w:space="0" w:color="auto"/>
        <w:right w:val="none" w:sz="0" w:space="0" w:color="auto"/>
      </w:divBdr>
    </w:div>
    <w:div w:id="893198592">
      <w:bodyDiv w:val="1"/>
      <w:marLeft w:val="0"/>
      <w:marRight w:val="0"/>
      <w:marTop w:val="0"/>
      <w:marBottom w:val="0"/>
      <w:divBdr>
        <w:top w:val="none" w:sz="0" w:space="0" w:color="auto"/>
        <w:left w:val="none" w:sz="0" w:space="0" w:color="auto"/>
        <w:bottom w:val="none" w:sz="0" w:space="0" w:color="auto"/>
        <w:right w:val="none" w:sz="0" w:space="0" w:color="auto"/>
      </w:divBdr>
    </w:div>
    <w:div w:id="929659652">
      <w:bodyDiv w:val="1"/>
      <w:marLeft w:val="0"/>
      <w:marRight w:val="0"/>
      <w:marTop w:val="0"/>
      <w:marBottom w:val="0"/>
      <w:divBdr>
        <w:top w:val="none" w:sz="0" w:space="0" w:color="auto"/>
        <w:left w:val="none" w:sz="0" w:space="0" w:color="auto"/>
        <w:bottom w:val="none" w:sz="0" w:space="0" w:color="auto"/>
        <w:right w:val="none" w:sz="0" w:space="0" w:color="auto"/>
      </w:divBdr>
    </w:div>
    <w:div w:id="968320570">
      <w:bodyDiv w:val="1"/>
      <w:marLeft w:val="0"/>
      <w:marRight w:val="0"/>
      <w:marTop w:val="0"/>
      <w:marBottom w:val="0"/>
      <w:divBdr>
        <w:top w:val="none" w:sz="0" w:space="0" w:color="auto"/>
        <w:left w:val="none" w:sz="0" w:space="0" w:color="auto"/>
        <w:bottom w:val="none" w:sz="0" w:space="0" w:color="auto"/>
        <w:right w:val="none" w:sz="0" w:space="0" w:color="auto"/>
      </w:divBdr>
    </w:div>
    <w:div w:id="984310763">
      <w:bodyDiv w:val="1"/>
      <w:marLeft w:val="0"/>
      <w:marRight w:val="0"/>
      <w:marTop w:val="0"/>
      <w:marBottom w:val="0"/>
      <w:divBdr>
        <w:top w:val="none" w:sz="0" w:space="0" w:color="auto"/>
        <w:left w:val="none" w:sz="0" w:space="0" w:color="auto"/>
        <w:bottom w:val="none" w:sz="0" w:space="0" w:color="auto"/>
        <w:right w:val="none" w:sz="0" w:space="0" w:color="auto"/>
      </w:divBdr>
    </w:div>
    <w:div w:id="991368211">
      <w:bodyDiv w:val="1"/>
      <w:marLeft w:val="0"/>
      <w:marRight w:val="0"/>
      <w:marTop w:val="0"/>
      <w:marBottom w:val="0"/>
      <w:divBdr>
        <w:top w:val="none" w:sz="0" w:space="0" w:color="auto"/>
        <w:left w:val="none" w:sz="0" w:space="0" w:color="auto"/>
        <w:bottom w:val="none" w:sz="0" w:space="0" w:color="auto"/>
        <w:right w:val="none" w:sz="0" w:space="0" w:color="auto"/>
      </w:divBdr>
    </w:div>
    <w:div w:id="999428111">
      <w:bodyDiv w:val="1"/>
      <w:marLeft w:val="0"/>
      <w:marRight w:val="0"/>
      <w:marTop w:val="0"/>
      <w:marBottom w:val="0"/>
      <w:divBdr>
        <w:top w:val="none" w:sz="0" w:space="0" w:color="auto"/>
        <w:left w:val="none" w:sz="0" w:space="0" w:color="auto"/>
        <w:bottom w:val="none" w:sz="0" w:space="0" w:color="auto"/>
        <w:right w:val="none" w:sz="0" w:space="0" w:color="auto"/>
      </w:divBdr>
    </w:div>
    <w:div w:id="1007708352">
      <w:bodyDiv w:val="1"/>
      <w:marLeft w:val="0"/>
      <w:marRight w:val="0"/>
      <w:marTop w:val="0"/>
      <w:marBottom w:val="0"/>
      <w:divBdr>
        <w:top w:val="none" w:sz="0" w:space="0" w:color="auto"/>
        <w:left w:val="none" w:sz="0" w:space="0" w:color="auto"/>
        <w:bottom w:val="none" w:sz="0" w:space="0" w:color="auto"/>
        <w:right w:val="none" w:sz="0" w:space="0" w:color="auto"/>
      </w:divBdr>
    </w:div>
    <w:div w:id="1056199680">
      <w:bodyDiv w:val="1"/>
      <w:marLeft w:val="0"/>
      <w:marRight w:val="0"/>
      <w:marTop w:val="0"/>
      <w:marBottom w:val="0"/>
      <w:divBdr>
        <w:top w:val="none" w:sz="0" w:space="0" w:color="auto"/>
        <w:left w:val="none" w:sz="0" w:space="0" w:color="auto"/>
        <w:bottom w:val="none" w:sz="0" w:space="0" w:color="auto"/>
        <w:right w:val="none" w:sz="0" w:space="0" w:color="auto"/>
      </w:divBdr>
    </w:div>
    <w:div w:id="1087187010">
      <w:bodyDiv w:val="1"/>
      <w:marLeft w:val="0"/>
      <w:marRight w:val="0"/>
      <w:marTop w:val="0"/>
      <w:marBottom w:val="0"/>
      <w:divBdr>
        <w:top w:val="none" w:sz="0" w:space="0" w:color="auto"/>
        <w:left w:val="none" w:sz="0" w:space="0" w:color="auto"/>
        <w:bottom w:val="none" w:sz="0" w:space="0" w:color="auto"/>
        <w:right w:val="none" w:sz="0" w:space="0" w:color="auto"/>
      </w:divBdr>
    </w:div>
    <w:div w:id="1117918150">
      <w:bodyDiv w:val="1"/>
      <w:marLeft w:val="0"/>
      <w:marRight w:val="0"/>
      <w:marTop w:val="0"/>
      <w:marBottom w:val="0"/>
      <w:divBdr>
        <w:top w:val="none" w:sz="0" w:space="0" w:color="auto"/>
        <w:left w:val="none" w:sz="0" w:space="0" w:color="auto"/>
        <w:bottom w:val="none" w:sz="0" w:space="0" w:color="auto"/>
        <w:right w:val="none" w:sz="0" w:space="0" w:color="auto"/>
      </w:divBdr>
    </w:div>
    <w:div w:id="1123229763">
      <w:bodyDiv w:val="1"/>
      <w:marLeft w:val="0"/>
      <w:marRight w:val="0"/>
      <w:marTop w:val="0"/>
      <w:marBottom w:val="0"/>
      <w:divBdr>
        <w:top w:val="none" w:sz="0" w:space="0" w:color="auto"/>
        <w:left w:val="none" w:sz="0" w:space="0" w:color="auto"/>
        <w:bottom w:val="none" w:sz="0" w:space="0" w:color="auto"/>
        <w:right w:val="none" w:sz="0" w:space="0" w:color="auto"/>
      </w:divBdr>
    </w:div>
    <w:div w:id="1150562043">
      <w:bodyDiv w:val="1"/>
      <w:marLeft w:val="0"/>
      <w:marRight w:val="0"/>
      <w:marTop w:val="0"/>
      <w:marBottom w:val="0"/>
      <w:divBdr>
        <w:top w:val="none" w:sz="0" w:space="0" w:color="auto"/>
        <w:left w:val="none" w:sz="0" w:space="0" w:color="auto"/>
        <w:bottom w:val="none" w:sz="0" w:space="0" w:color="auto"/>
        <w:right w:val="none" w:sz="0" w:space="0" w:color="auto"/>
      </w:divBdr>
      <w:divsChild>
        <w:div w:id="1535459277">
          <w:marLeft w:val="0"/>
          <w:marRight w:val="0"/>
          <w:marTop w:val="0"/>
          <w:marBottom w:val="0"/>
          <w:divBdr>
            <w:top w:val="none" w:sz="0" w:space="0" w:color="auto"/>
            <w:left w:val="none" w:sz="0" w:space="0" w:color="auto"/>
            <w:bottom w:val="none" w:sz="0" w:space="0" w:color="auto"/>
            <w:right w:val="none" w:sz="0" w:space="0" w:color="auto"/>
          </w:divBdr>
          <w:divsChild>
            <w:div w:id="1751922180">
              <w:marLeft w:val="0"/>
              <w:marRight w:val="0"/>
              <w:marTop w:val="0"/>
              <w:marBottom w:val="0"/>
              <w:divBdr>
                <w:top w:val="none" w:sz="0" w:space="0" w:color="auto"/>
                <w:left w:val="none" w:sz="0" w:space="0" w:color="auto"/>
                <w:bottom w:val="none" w:sz="0" w:space="0" w:color="auto"/>
                <w:right w:val="none" w:sz="0" w:space="0" w:color="auto"/>
              </w:divBdr>
              <w:divsChild>
                <w:div w:id="563375074">
                  <w:marLeft w:val="0"/>
                  <w:marRight w:val="0"/>
                  <w:marTop w:val="0"/>
                  <w:marBottom w:val="0"/>
                  <w:divBdr>
                    <w:top w:val="none" w:sz="0" w:space="0" w:color="auto"/>
                    <w:left w:val="none" w:sz="0" w:space="0" w:color="auto"/>
                    <w:bottom w:val="none" w:sz="0" w:space="0" w:color="auto"/>
                    <w:right w:val="none" w:sz="0" w:space="0" w:color="auto"/>
                  </w:divBdr>
                  <w:divsChild>
                    <w:div w:id="18584263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7505017">
      <w:bodyDiv w:val="1"/>
      <w:marLeft w:val="0"/>
      <w:marRight w:val="0"/>
      <w:marTop w:val="0"/>
      <w:marBottom w:val="0"/>
      <w:divBdr>
        <w:top w:val="none" w:sz="0" w:space="0" w:color="auto"/>
        <w:left w:val="none" w:sz="0" w:space="0" w:color="auto"/>
        <w:bottom w:val="none" w:sz="0" w:space="0" w:color="auto"/>
        <w:right w:val="none" w:sz="0" w:space="0" w:color="auto"/>
      </w:divBdr>
    </w:div>
    <w:div w:id="1192764718">
      <w:bodyDiv w:val="1"/>
      <w:marLeft w:val="0"/>
      <w:marRight w:val="0"/>
      <w:marTop w:val="0"/>
      <w:marBottom w:val="0"/>
      <w:divBdr>
        <w:top w:val="none" w:sz="0" w:space="0" w:color="auto"/>
        <w:left w:val="none" w:sz="0" w:space="0" w:color="auto"/>
        <w:bottom w:val="none" w:sz="0" w:space="0" w:color="auto"/>
        <w:right w:val="none" w:sz="0" w:space="0" w:color="auto"/>
      </w:divBdr>
      <w:divsChild>
        <w:div w:id="1384252727">
          <w:marLeft w:val="0"/>
          <w:marRight w:val="0"/>
          <w:marTop w:val="0"/>
          <w:marBottom w:val="0"/>
          <w:divBdr>
            <w:top w:val="none" w:sz="0" w:space="0" w:color="auto"/>
            <w:left w:val="none" w:sz="0" w:space="0" w:color="auto"/>
            <w:bottom w:val="none" w:sz="0" w:space="0" w:color="auto"/>
            <w:right w:val="none" w:sz="0" w:space="0" w:color="auto"/>
          </w:divBdr>
          <w:divsChild>
            <w:div w:id="1578594701">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214807037">
      <w:bodyDiv w:val="1"/>
      <w:marLeft w:val="0"/>
      <w:marRight w:val="0"/>
      <w:marTop w:val="0"/>
      <w:marBottom w:val="0"/>
      <w:divBdr>
        <w:top w:val="none" w:sz="0" w:space="0" w:color="auto"/>
        <w:left w:val="none" w:sz="0" w:space="0" w:color="auto"/>
        <w:bottom w:val="none" w:sz="0" w:space="0" w:color="auto"/>
        <w:right w:val="none" w:sz="0" w:space="0" w:color="auto"/>
      </w:divBdr>
    </w:div>
    <w:div w:id="1242716746">
      <w:bodyDiv w:val="1"/>
      <w:marLeft w:val="0"/>
      <w:marRight w:val="0"/>
      <w:marTop w:val="0"/>
      <w:marBottom w:val="0"/>
      <w:divBdr>
        <w:top w:val="none" w:sz="0" w:space="0" w:color="auto"/>
        <w:left w:val="none" w:sz="0" w:space="0" w:color="auto"/>
        <w:bottom w:val="none" w:sz="0" w:space="0" w:color="auto"/>
        <w:right w:val="none" w:sz="0" w:space="0" w:color="auto"/>
      </w:divBdr>
      <w:divsChild>
        <w:div w:id="884566018">
          <w:marLeft w:val="0"/>
          <w:marRight w:val="0"/>
          <w:marTop w:val="0"/>
          <w:marBottom w:val="0"/>
          <w:divBdr>
            <w:top w:val="none" w:sz="0" w:space="0" w:color="auto"/>
            <w:left w:val="none" w:sz="0" w:space="0" w:color="auto"/>
            <w:bottom w:val="none" w:sz="0" w:space="0" w:color="auto"/>
            <w:right w:val="none" w:sz="0" w:space="0" w:color="auto"/>
          </w:divBdr>
        </w:div>
      </w:divsChild>
    </w:div>
    <w:div w:id="1256551797">
      <w:bodyDiv w:val="1"/>
      <w:marLeft w:val="0"/>
      <w:marRight w:val="0"/>
      <w:marTop w:val="0"/>
      <w:marBottom w:val="0"/>
      <w:divBdr>
        <w:top w:val="none" w:sz="0" w:space="0" w:color="auto"/>
        <w:left w:val="none" w:sz="0" w:space="0" w:color="auto"/>
        <w:bottom w:val="none" w:sz="0" w:space="0" w:color="auto"/>
        <w:right w:val="none" w:sz="0" w:space="0" w:color="auto"/>
      </w:divBdr>
      <w:divsChild>
        <w:div w:id="453524564">
          <w:marLeft w:val="0"/>
          <w:marRight w:val="0"/>
          <w:marTop w:val="0"/>
          <w:marBottom w:val="0"/>
          <w:divBdr>
            <w:top w:val="none" w:sz="0" w:space="0" w:color="auto"/>
            <w:left w:val="none" w:sz="0" w:space="0" w:color="auto"/>
            <w:bottom w:val="none" w:sz="0" w:space="0" w:color="auto"/>
            <w:right w:val="none" w:sz="0" w:space="0" w:color="auto"/>
          </w:divBdr>
          <w:divsChild>
            <w:div w:id="2037539551">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344867905">
      <w:bodyDiv w:val="1"/>
      <w:marLeft w:val="0"/>
      <w:marRight w:val="0"/>
      <w:marTop w:val="0"/>
      <w:marBottom w:val="0"/>
      <w:divBdr>
        <w:top w:val="none" w:sz="0" w:space="0" w:color="auto"/>
        <w:left w:val="none" w:sz="0" w:space="0" w:color="auto"/>
        <w:bottom w:val="none" w:sz="0" w:space="0" w:color="auto"/>
        <w:right w:val="none" w:sz="0" w:space="0" w:color="auto"/>
      </w:divBdr>
    </w:div>
    <w:div w:id="1350719246">
      <w:bodyDiv w:val="1"/>
      <w:marLeft w:val="0"/>
      <w:marRight w:val="0"/>
      <w:marTop w:val="0"/>
      <w:marBottom w:val="0"/>
      <w:divBdr>
        <w:top w:val="none" w:sz="0" w:space="0" w:color="auto"/>
        <w:left w:val="none" w:sz="0" w:space="0" w:color="auto"/>
        <w:bottom w:val="none" w:sz="0" w:space="0" w:color="auto"/>
        <w:right w:val="none" w:sz="0" w:space="0" w:color="auto"/>
      </w:divBdr>
      <w:divsChild>
        <w:div w:id="1501040540">
          <w:marLeft w:val="0"/>
          <w:marRight w:val="0"/>
          <w:marTop w:val="0"/>
          <w:marBottom w:val="0"/>
          <w:divBdr>
            <w:top w:val="none" w:sz="0" w:space="0" w:color="auto"/>
            <w:left w:val="none" w:sz="0" w:space="0" w:color="auto"/>
            <w:bottom w:val="none" w:sz="0" w:space="0" w:color="auto"/>
            <w:right w:val="none" w:sz="0" w:space="0" w:color="auto"/>
          </w:divBdr>
          <w:divsChild>
            <w:div w:id="1337804557">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369405629">
      <w:bodyDiv w:val="1"/>
      <w:marLeft w:val="0"/>
      <w:marRight w:val="0"/>
      <w:marTop w:val="0"/>
      <w:marBottom w:val="0"/>
      <w:divBdr>
        <w:top w:val="none" w:sz="0" w:space="0" w:color="auto"/>
        <w:left w:val="none" w:sz="0" w:space="0" w:color="auto"/>
        <w:bottom w:val="none" w:sz="0" w:space="0" w:color="auto"/>
        <w:right w:val="none" w:sz="0" w:space="0" w:color="auto"/>
      </w:divBdr>
      <w:divsChild>
        <w:div w:id="1057237838">
          <w:marLeft w:val="0"/>
          <w:marRight w:val="0"/>
          <w:marTop w:val="0"/>
          <w:marBottom w:val="0"/>
          <w:divBdr>
            <w:top w:val="none" w:sz="0" w:space="0" w:color="auto"/>
            <w:left w:val="none" w:sz="0" w:space="0" w:color="auto"/>
            <w:bottom w:val="none" w:sz="0" w:space="0" w:color="auto"/>
            <w:right w:val="none" w:sz="0" w:space="0" w:color="auto"/>
          </w:divBdr>
        </w:div>
        <w:div w:id="1644894983">
          <w:marLeft w:val="0"/>
          <w:marRight w:val="0"/>
          <w:marTop w:val="0"/>
          <w:marBottom w:val="0"/>
          <w:divBdr>
            <w:top w:val="none" w:sz="0" w:space="0" w:color="auto"/>
            <w:left w:val="none" w:sz="0" w:space="0" w:color="auto"/>
            <w:bottom w:val="none" w:sz="0" w:space="0" w:color="auto"/>
            <w:right w:val="none" w:sz="0" w:space="0" w:color="auto"/>
          </w:divBdr>
        </w:div>
        <w:div w:id="1883667228">
          <w:marLeft w:val="0"/>
          <w:marRight w:val="0"/>
          <w:marTop w:val="0"/>
          <w:marBottom w:val="0"/>
          <w:divBdr>
            <w:top w:val="none" w:sz="0" w:space="0" w:color="auto"/>
            <w:left w:val="none" w:sz="0" w:space="0" w:color="auto"/>
            <w:bottom w:val="none" w:sz="0" w:space="0" w:color="auto"/>
            <w:right w:val="none" w:sz="0" w:space="0" w:color="auto"/>
          </w:divBdr>
        </w:div>
        <w:div w:id="14187179">
          <w:marLeft w:val="0"/>
          <w:marRight w:val="0"/>
          <w:marTop w:val="0"/>
          <w:marBottom w:val="0"/>
          <w:divBdr>
            <w:top w:val="none" w:sz="0" w:space="0" w:color="auto"/>
            <w:left w:val="none" w:sz="0" w:space="0" w:color="auto"/>
            <w:bottom w:val="none" w:sz="0" w:space="0" w:color="auto"/>
            <w:right w:val="none" w:sz="0" w:space="0" w:color="auto"/>
          </w:divBdr>
        </w:div>
        <w:div w:id="516385648">
          <w:marLeft w:val="0"/>
          <w:marRight w:val="0"/>
          <w:marTop w:val="0"/>
          <w:marBottom w:val="0"/>
          <w:divBdr>
            <w:top w:val="none" w:sz="0" w:space="0" w:color="auto"/>
            <w:left w:val="none" w:sz="0" w:space="0" w:color="auto"/>
            <w:bottom w:val="none" w:sz="0" w:space="0" w:color="auto"/>
            <w:right w:val="none" w:sz="0" w:space="0" w:color="auto"/>
          </w:divBdr>
        </w:div>
      </w:divsChild>
    </w:div>
    <w:div w:id="1385910850">
      <w:bodyDiv w:val="1"/>
      <w:marLeft w:val="0"/>
      <w:marRight w:val="0"/>
      <w:marTop w:val="0"/>
      <w:marBottom w:val="0"/>
      <w:divBdr>
        <w:top w:val="none" w:sz="0" w:space="0" w:color="auto"/>
        <w:left w:val="none" w:sz="0" w:space="0" w:color="auto"/>
        <w:bottom w:val="none" w:sz="0" w:space="0" w:color="auto"/>
        <w:right w:val="none" w:sz="0" w:space="0" w:color="auto"/>
      </w:divBdr>
      <w:divsChild>
        <w:div w:id="589196922">
          <w:marLeft w:val="0"/>
          <w:marRight w:val="0"/>
          <w:marTop w:val="0"/>
          <w:marBottom w:val="0"/>
          <w:divBdr>
            <w:top w:val="none" w:sz="0" w:space="0" w:color="auto"/>
            <w:left w:val="none" w:sz="0" w:space="0" w:color="auto"/>
            <w:bottom w:val="none" w:sz="0" w:space="0" w:color="auto"/>
            <w:right w:val="none" w:sz="0" w:space="0" w:color="auto"/>
          </w:divBdr>
          <w:divsChild>
            <w:div w:id="1283801460">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461149933">
      <w:bodyDiv w:val="1"/>
      <w:marLeft w:val="0"/>
      <w:marRight w:val="0"/>
      <w:marTop w:val="0"/>
      <w:marBottom w:val="0"/>
      <w:divBdr>
        <w:top w:val="none" w:sz="0" w:space="0" w:color="auto"/>
        <w:left w:val="none" w:sz="0" w:space="0" w:color="auto"/>
        <w:bottom w:val="none" w:sz="0" w:space="0" w:color="auto"/>
        <w:right w:val="none" w:sz="0" w:space="0" w:color="auto"/>
      </w:divBdr>
    </w:div>
    <w:div w:id="1467428655">
      <w:bodyDiv w:val="1"/>
      <w:marLeft w:val="0"/>
      <w:marRight w:val="0"/>
      <w:marTop w:val="0"/>
      <w:marBottom w:val="0"/>
      <w:divBdr>
        <w:top w:val="none" w:sz="0" w:space="0" w:color="auto"/>
        <w:left w:val="none" w:sz="0" w:space="0" w:color="auto"/>
        <w:bottom w:val="none" w:sz="0" w:space="0" w:color="auto"/>
        <w:right w:val="none" w:sz="0" w:space="0" w:color="auto"/>
      </w:divBdr>
    </w:div>
    <w:div w:id="1508059417">
      <w:bodyDiv w:val="1"/>
      <w:marLeft w:val="0"/>
      <w:marRight w:val="0"/>
      <w:marTop w:val="0"/>
      <w:marBottom w:val="0"/>
      <w:divBdr>
        <w:top w:val="none" w:sz="0" w:space="0" w:color="auto"/>
        <w:left w:val="none" w:sz="0" w:space="0" w:color="auto"/>
        <w:bottom w:val="none" w:sz="0" w:space="0" w:color="auto"/>
        <w:right w:val="none" w:sz="0" w:space="0" w:color="auto"/>
      </w:divBdr>
    </w:div>
    <w:div w:id="1516188681">
      <w:bodyDiv w:val="1"/>
      <w:marLeft w:val="0"/>
      <w:marRight w:val="0"/>
      <w:marTop w:val="0"/>
      <w:marBottom w:val="0"/>
      <w:divBdr>
        <w:top w:val="none" w:sz="0" w:space="0" w:color="auto"/>
        <w:left w:val="none" w:sz="0" w:space="0" w:color="auto"/>
        <w:bottom w:val="none" w:sz="0" w:space="0" w:color="auto"/>
        <w:right w:val="none" w:sz="0" w:space="0" w:color="auto"/>
      </w:divBdr>
    </w:div>
    <w:div w:id="1536238915">
      <w:bodyDiv w:val="1"/>
      <w:marLeft w:val="0"/>
      <w:marRight w:val="0"/>
      <w:marTop w:val="0"/>
      <w:marBottom w:val="0"/>
      <w:divBdr>
        <w:top w:val="none" w:sz="0" w:space="0" w:color="auto"/>
        <w:left w:val="none" w:sz="0" w:space="0" w:color="auto"/>
        <w:bottom w:val="none" w:sz="0" w:space="0" w:color="auto"/>
        <w:right w:val="none" w:sz="0" w:space="0" w:color="auto"/>
      </w:divBdr>
    </w:div>
    <w:div w:id="1564369978">
      <w:bodyDiv w:val="1"/>
      <w:marLeft w:val="0"/>
      <w:marRight w:val="0"/>
      <w:marTop w:val="0"/>
      <w:marBottom w:val="0"/>
      <w:divBdr>
        <w:top w:val="none" w:sz="0" w:space="0" w:color="auto"/>
        <w:left w:val="none" w:sz="0" w:space="0" w:color="auto"/>
        <w:bottom w:val="none" w:sz="0" w:space="0" w:color="auto"/>
        <w:right w:val="none" w:sz="0" w:space="0" w:color="auto"/>
      </w:divBdr>
    </w:div>
    <w:div w:id="1577084175">
      <w:bodyDiv w:val="1"/>
      <w:marLeft w:val="0"/>
      <w:marRight w:val="0"/>
      <w:marTop w:val="0"/>
      <w:marBottom w:val="0"/>
      <w:divBdr>
        <w:top w:val="none" w:sz="0" w:space="0" w:color="auto"/>
        <w:left w:val="none" w:sz="0" w:space="0" w:color="auto"/>
        <w:bottom w:val="none" w:sz="0" w:space="0" w:color="auto"/>
        <w:right w:val="none" w:sz="0" w:space="0" w:color="auto"/>
      </w:divBdr>
    </w:div>
    <w:div w:id="1590000979">
      <w:bodyDiv w:val="1"/>
      <w:marLeft w:val="0"/>
      <w:marRight w:val="0"/>
      <w:marTop w:val="0"/>
      <w:marBottom w:val="0"/>
      <w:divBdr>
        <w:top w:val="none" w:sz="0" w:space="0" w:color="auto"/>
        <w:left w:val="none" w:sz="0" w:space="0" w:color="auto"/>
        <w:bottom w:val="none" w:sz="0" w:space="0" w:color="auto"/>
        <w:right w:val="none" w:sz="0" w:space="0" w:color="auto"/>
      </w:divBdr>
    </w:div>
    <w:div w:id="1594699707">
      <w:bodyDiv w:val="1"/>
      <w:marLeft w:val="0"/>
      <w:marRight w:val="0"/>
      <w:marTop w:val="0"/>
      <w:marBottom w:val="0"/>
      <w:divBdr>
        <w:top w:val="none" w:sz="0" w:space="0" w:color="auto"/>
        <w:left w:val="none" w:sz="0" w:space="0" w:color="auto"/>
        <w:bottom w:val="none" w:sz="0" w:space="0" w:color="auto"/>
        <w:right w:val="none" w:sz="0" w:space="0" w:color="auto"/>
      </w:divBdr>
    </w:div>
    <w:div w:id="1717504757">
      <w:bodyDiv w:val="1"/>
      <w:marLeft w:val="0"/>
      <w:marRight w:val="0"/>
      <w:marTop w:val="0"/>
      <w:marBottom w:val="0"/>
      <w:divBdr>
        <w:top w:val="none" w:sz="0" w:space="0" w:color="auto"/>
        <w:left w:val="none" w:sz="0" w:space="0" w:color="auto"/>
        <w:bottom w:val="none" w:sz="0" w:space="0" w:color="auto"/>
        <w:right w:val="none" w:sz="0" w:space="0" w:color="auto"/>
      </w:divBdr>
      <w:divsChild>
        <w:div w:id="1202671010">
          <w:marLeft w:val="480"/>
          <w:marRight w:val="480"/>
          <w:marTop w:val="0"/>
          <w:marBottom w:val="0"/>
          <w:divBdr>
            <w:top w:val="none" w:sz="0" w:space="0" w:color="auto"/>
            <w:left w:val="none" w:sz="0" w:space="0" w:color="auto"/>
            <w:bottom w:val="none" w:sz="0" w:space="0" w:color="auto"/>
            <w:right w:val="none" w:sz="0" w:space="0" w:color="auto"/>
          </w:divBdr>
        </w:div>
      </w:divsChild>
    </w:div>
    <w:div w:id="1730491102">
      <w:bodyDiv w:val="1"/>
      <w:marLeft w:val="0"/>
      <w:marRight w:val="0"/>
      <w:marTop w:val="0"/>
      <w:marBottom w:val="0"/>
      <w:divBdr>
        <w:top w:val="none" w:sz="0" w:space="0" w:color="auto"/>
        <w:left w:val="none" w:sz="0" w:space="0" w:color="auto"/>
        <w:bottom w:val="none" w:sz="0" w:space="0" w:color="auto"/>
        <w:right w:val="none" w:sz="0" w:space="0" w:color="auto"/>
      </w:divBdr>
      <w:divsChild>
        <w:div w:id="469590249">
          <w:marLeft w:val="0"/>
          <w:marRight w:val="0"/>
          <w:marTop w:val="0"/>
          <w:marBottom w:val="0"/>
          <w:divBdr>
            <w:top w:val="none" w:sz="0" w:space="0" w:color="auto"/>
            <w:left w:val="none" w:sz="0" w:space="0" w:color="auto"/>
            <w:bottom w:val="none" w:sz="0" w:space="0" w:color="auto"/>
            <w:right w:val="none" w:sz="0" w:space="0" w:color="auto"/>
          </w:divBdr>
          <w:divsChild>
            <w:div w:id="1692880091">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740053926">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
    <w:div w:id="1803306497">
      <w:bodyDiv w:val="1"/>
      <w:marLeft w:val="0"/>
      <w:marRight w:val="0"/>
      <w:marTop w:val="0"/>
      <w:marBottom w:val="0"/>
      <w:divBdr>
        <w:top w:val="none" w:sz="0" w:space="0" w:color="auto"/>
        <w:left w:val="none" w:sz="0" w:space="0" w:color="auto"/>
        <w:bottom w:val="none" w:sz="0" w:space="0" w:color="auto"/>
        <w:right w:val="none" w:sz="0" w:space="0" w:color="auto"/>
      </w:divBdr>
      <w:divsChild>
        <w:div w:id="1320888629">
          <w:marLeft w:val="0"/>
          <w:marRight w:val="0"/>
          <w:marTop w:val="0"/>
          <w:marBottom w:val="0"/>
          <w:divBdr>
            <w:top w:val="none" w:sz="0" w:space="0" w:color="auto"/>
            <w:left w:val="none" w:sz="0" w:space="0" w:color="auto"/>
            <w:bottom w:val="none" w:sz="0" w:space="0" w:color="auto"/>
            <w:right w:val="none" w:sz="0" w:space="0" w:color="auto"/>
          </w:divBdr>
          <w:divsChild>
            <w:div w:id="524444397">
              <w:marLeft w:val="525"/>
              <w:marRight w:val="0"/>
              <w:marTop w:val="300"/>
              <w:marBottom w:val="0"/>
              <w:divBdr>
                <w:top w:val="none" w:sz="0" w:space="0" w:color="auto"/>
                <w:left w:val="none" w:sz="0" w:space="0" w:color="auto"/>
                <w:bottom w:val="none" w:sz="0" w:space="0" w:color="auto"/>
                <w:right w:val="none" w:sz="0" w:space="0" w:color="auto"/>
              </w:divBdr>
              <w:divsChild>
                <w:div w:id="1100947479">
                  <w:marLeft w:val="0"/>
                  <w:marRight w:val="0"/>
                  <w:marTop w:val="0"/>
                  <w:marBottom w:val="0"/>
                  <w:divBdr>
                    <w:top w:val="none" w:sz="0" w:space="0" w:color="auto"/>
                    <w:left w:val="none" w:sz="0" w:space="0" w:color="auto"/>
                    <w:bottom w:val="none" w:sz="0" w:space="0" w:color="auto"/>
                    <w:right w:val="none" w:sz="0" w:space="0" w:color="auto"/>
                  </w:divBdr>
                  <w:divsChild>
                    <w:div w:id="399334084">
                      <w:marLeft w:val="0"/>
                      <w:marRight w:val="0"/>
                      <w:marTop w:val="0"/>
                      <w:marBottom w:val="0"/>
                      <w:divBdr>
                        <w:top w:val="none" w:sz="0" w:space="0" w:color="auto"/>
                        <w:left w:val="none" w:sz="0" w:space="0" w:color="auto"/>
                        <w:bottom w:val="none" w:sz="0" w:space="0" w:color="auto"/>
                        <w:right w:val="none" w:sz="0" w:space="0" w:color="auto"/>
                      </w:divBdr>
                      <w:divsChild>
                        <w:div w:id="126895530">
                          <w:marLeft w:val="0"/>
                          <w:marRight w:val="0"/>
                          <w:marTop w:val="0"/>
                          <w:marBottom w:val="0"/>
                          <w:divBdr>
                            <w:top w:val="none" w:sz="0" w:space="0" w:color="auto"/>
                            <w:left w:val="none" w:sz="0" w:space="0" w:color="auto"/>
                            <w:bottom w:val="none" w:sz="0" w:space="8" w:color="auto"/>
                            <w:right w:val="none" w:sz="0" w:space="0" w:color="auto"/>
                          </w:divBdr>
                        </w:div>
                      </w:divsChild>
                    </w:div>
                  </w:divsChild>
                </w:div>
              </w:divsChild>
            </w:div>
          </w:divsChild>
        </w:div>
      </w:divsChild>
    </w:div>
    <w:div w:id="1810903789">
      <w:bodyDiv w:val="1"/>
      <w:marLeft w:val="0"/>
      <w:marRight w:val="0"/>
      <w:marTop w:val="0"/>
      <w:marBottom w:val="0"/>
      <w:divBdr>
        <w:top w:val="none" w:sz="0" w:space="0" w:color="auto"/>
        <w:left w:val="none" w:sz="0" w:space="0" w:color="auto"/>
        <w:bottom w:val="none" w:sz="0" w:space="0" w:color="auto"/>
        <w:right w:val="none" w:sz="0" w:space="0" w:color="auto"/>
      </w:divBdr>
    </w:div>
    <w:div w:id="1812671365">
      <w:bodyDiv w:val="1"/>
      <w:marLeft w:val="0"/>
      <w:marRight w:val="0"/>
      <w:marTop w:val="0"/>
      <w:marBottom w:val="0"/>
      <w:divBdr>
        <w:top w:val="none" w:sz="0" w:space="0" w:color="auto"/>
        <w:left w:val="none" w:sz="0" w:space="0" w:color="auto"/>
        <w:bottom w:val="none" w:sz="0" w:space="0" w:color="auto"/>
        <w:right w:val="none" w:sz="0" w:space="0" w:color="auto"/>
      </w:divBdr>
    </w:div>
    <w:div w:id="1939409302">
      <w:bodyDiv w:val="1"/>
      <w:marLeft w:val="0"/>
      <w:marRight w:val="0"/>
      <w:marTop w:val="0"/>
      <w:marBottom w:val="0"/>
      <w:divBdr>
        <w:top w:val="none" w:sz="0" w:space="0" w:color="auto"/>
        <w:left w:val="none" w:sz="0" w:space="0" w:color="auto"/>
        <w:bottom w:val="none" w:sz="0" w:space="0" w:color="auto"/>
        <w:right w:val="none" w:sz="0" w:space="0" w:color="auto"/>
      </w:divBdr>
    </w:div>
    <w:div w:id="1947736004">
      <w:bodyDiv w:val="1"/>
      <w:marLeft w:val="0"/>
      <w:marRight w:val="0"/>
      <w:marTop w:val="0"/>
      <w:marBottom w:val="0"/>
      <w:divBdr>
        <w:top w:val="none" w:sz="0" w:space="0" w:color="auto"/>
        <w:left w:val="none" w:sz="0" w:space="0" w:color="auto"/>
        <w:bottom w:val="none" w:sz="0" w:space="0" w:color="auto"/>
        <w:right w:val="none" w:sz="0" w:space="0" w:color="auto"/>
      </w:divBdr>
    </w:div>
    <w:div w:id="1963076904">
      <w:bodyDiv w:val="1"/>
      <w:marLeft w:val="0"/>
      <w:marRight w:val="0"/>
      <w:marTop w:val="0"/>
      <w:marBottom w:val="0"/>
      <w:divBdr>
        <w:top w:val="none" w:sz="0" w:space="0" w:color="auto"/>
        <w:left w:val="none" w:sz="0" w:space="0" w:color="auto"/>
        <w:bottom w:val="none" w:sz="0" w:space="0" w:color="auto"/>
        <w:right w:val="none" w:sz="0" w:space="0" w:color="auto"/>
      </w:divBdr>
      <w:divsChild>
        <w:div w:id="633679262">
          <w:marLeft w:val="0"/>
          <w:marRight w:val="0"/>
          <w:marTop w:val="0"/>
          <w:marBottom w:val="0"/>
          <w:divBdr>
            <w:top w:val="none" w:sz="0" w:space="0" w:color="auto"/>
            <w:left w:val="none" w:sz="0" w:space="0" w:color="auto"/>
            <w:bottom w:val="none" w:sz="0" w:space="0" w:color="auto"/>
            <w:right w:val="none" w:sz="0" w:space="0" w:color="auto"/>
          </w:divBdr>
          <w:divsChild>
            <w:div w:id="1313363488">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1974603769">
      <w:bodyDiv w:val="1"/>
      <w:marLeft w:val="0"/>
      <w:marRight w:val="0"/>
      <w:marTop w:val="0"/>
      <w:marBottom w:val="0"/>
      <w:divBdr>
        <w:top w:val="none" w:sz="0" w:space="0" w:color="auto"/>
        <w:left w:val="none" w:sz="0" w:space="0" w:color="auto"/>
        <w:bottom w:val="none" w:sz="0" w:space="0" w:color="auto"/>
        <w:right w:val="none" w:sz="0" w:space="0" w:color="auto"/>
      </w:divBdr>
      <w:divsChild>
        <w:div w:id="1173832916">
          <w:marLeft w:val="0"/>
          <w:marRight w:val="0"/>
          <w:marTop w:val="0"/>
          <w:marBottom w:val="0"/>
          <w:divBdr>
            <w:top w:val="none" w:sz="0" w:space="0" w:color="auto"/>
            <w:left w:val="none" w:sz="0" w:space="0" w:color="auto"/>
            <w:bottom w:val="none" w:sz="0" w:space="0" w:color="auto"/>
            <w:right w:val="none" w:sz="0" w:space="0" w:color="auto"/>
          </w:divBdr>
          <w:divsChild>
            <w:div w:id="1833369895">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2005813824">
      <w:bodyDiv w:val="1"/>
      <w:marLeft w:val="0"/>
      <w:marRight w:val="0"/>
      <w:marTop w:val="0"/>
      <w:marBottom w:val="0"/>
      <w:divBdr>
        <w:top w:val="none" w:sz="0" w:space="0" w:color="auto"/>
        <w:left w:val="none" w:sz="0" w:space="0" w:color="auto"/>
        <w:bottom w:val="none" w:sz="0" w:space="0" w:color="auto"/>
        <w:right w:val="none" w:sz="0" w:space="0" w:color="auto"/>
      </w:divBdr>
    </w:div>
    <w:div w:id="2055348546">
      <w:bodyDiv w:val="1"/>
      <w:marLeft w:val="0"/>
      <w:marRight w:val="0"/>
      <w:marTop w:val="0"/>
      <w:marBottom w:val="0"/>
      <w:divBdr>
        <w:top w:val="none" w:sz="0" w:space="0" w:color="auto"/>
        <w:left w:val="none" w:sz="0" w:space="0" w:color="auto"/>
        <w:bottom w:val="none" w:sz="0" w:space="0" w:color="auto"/>
        <w:right w:val="none" w:sz="0" w:space="0" w:color="auto"/>
      </w:divBdr>
    </w:div>
    <w:div w:id="2071151802">
      <w:bodyDiv w:val="1"/>
      <w:marLeft w:val="0"/>
      <w:marRight w:val="0"/>
      <w:marTop w:val="0"/>
      <w:marBottom w:val="0"/>
      <w:divBdr>
        <w:top w:val="none" w:sz="0" w:space="0" w:color="auto"/>
        <w:left w:val="none" w:sz="0" w:space="0" w:color="auto"/>
        <w:bottom w:val="none" w:sz="0" w:space="0" w:color="auto"/>
        <w:right w:val="none" w:sz="0" w:space="0" w:color="auto"/>
      </w:divBdr>
    </w:div>
    <w:div w:id="2087993982">
      <w:bodyDiv w:val="1"/>
      <w:marLeft w:val="0"/>
      <w:marRight w:val="0"/>
      <w:marTop w:val="0"/>
      <w:marBottom w:val="0"/>
      <w:divBdr>
        <w:top w:val="none" w:sz="0" w:space="0" w:color="auto"/>
        <w:left w:val="none" w:sz="0" w:space="0" w:color="auto"/>
        <w:bottom w:val="none" w:sz="0" w:space="0" w:color="auto"/>
        <w:right w:val="none" w:sz="0" w:space="0" w:color="auto"/>
      </w:divBdr>
    </w:div>
    <w:div w:id="2101754908">
      <w:bodyDiv w:val="1"/>
      <w:marLeft w:val="0"/>
      <w:marRight w:val="0"/>
      <w:marTop w:val="0"/>
      <w:marBottom w:val="0"/>
      <w:divBdr>
        <w:top w:val="none" w:sz="0" w:space="0" w:color="auto"/>
        <w:left w:val="none" w:sz="0" w:space="0" w:color="auto"/>
        <w:bottom w:val="none" w:sz="0" w:space="0" w:color="auto"/>
        <w:right w:val="none" w:sz="0" w:space="0" w:color="auto"/>
      </w:divBdr>
    </w:div>
    <w:div w:id="2144692720">
      <w:bodyDiv w:val="1"/>
      <w:marLeft w:val="0"/>
      <w:marRight w:val="0"/>
      <w:marTop w:val="0"/>
      <w:marBottom w:val="0"/>
      <w:divBdr>
        <w:top w:val="none" w:sz="0" w:space="0" w:color="auto"/>
        <w:left w:val="none" w:sz="0" w:space="0" w:color="auto"/>
        <w:bottom w:val="none" w:sz="0" w:space="0" w:color="auto"/>
        <w:right w:val="none" w:sz="0" w:space="0" w:color="auto"/>
      </w:divBdr>
    </w:div>
    <w:div w:id="21453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RFZxYU" TargetMode="External"/><Relationship Id="rId18" Type="http://schemas.openxmlformats.org/officeDocument/2006/relationships/hyperlink" Target="http://bcn.cl/2f6m7" TargetMode="External"/><Relationship Id="rId26" Type="http://schemas.openxmlformats.org/officeDocument/2006/relationships/hyperlink" Target="https://doi.org/10.3790/978-3-428-51390-1" TargetMode="External"/><Relationship Id="rId39" Type="http://schemas.openxmlformats.org/officeDocument/2006/relationships/hyperlink" Target="https://doi.org/10.1515/9783110915686" TargetMode="External"/><Relationship Id="rId21" Type="http://schemas.openxmlformats.org/officeDocument/2006/relationships/hyperlink" Target="https://bit.ly/3ujDOD3" TargetMode="External"/><Relationship Id="rId34" Type="http://schemas.openxmlformats.org/officeDocument/2006/relationships/hyperlink" Target="https://doi.org/10.5771/2364-1355-2015-3-288" TargetMode="External"/><Relationship Id="rId42" Type="http://schemas.openxmlformats.org/officeDocument/2006/relationships/hyperlink" Target="https://doi.org/10.1515/9783110892079-011" TargetMode="External"/><Relationship Id="rId47" Type="http://schemas.openxmlformats.org/officeDocument/2006/relationships/hyperlink" Target="https://doi.org/10.4067/S0718-34372020000100261" TargetMode="External"/><Relationship Id="rId50" Type="http://schemas.openxmlformats.org/officeDocument/2006/relationships/hyperlink" Target="https://bit.ly/3fjhmV5" TargetMode="External"/><Relationship Id="rId55" Type="http://schemas.openxmlformats.org/officeDocument/2006/relationships/hyperlink" Target="https://bit.ly/2Sqh9b4" TargetMode="External"/><Relationship Id="rId7" Type="http://schemas.openxmlformats.org/officeDocument/2006/relationships/footnotes" Target="footnotes.xml"/><Relationship Id="rId12" Type="http://schemas.openxmlformats.org/officeDocument/2006/relationships/hyperlink" Target="https://bit.ly/3n9hxpu" TargetMode="External"/><Relationship Id="rId17" Type="http://schemas.openxmlformats.org/officeDocument/2006/relationships/hyperlink" Target="https://bit.ly/3v87NyD" TargetMode="External"/><Relationship Id="rId25" Type="http://schemas.openxmlformats.org/officeDocument/2006/relationships/hyperlink" Target="https://doi.org/10.1515/9783110906424" TargetMode="External"/><Relationship Id="rId33" Type="http://schemas.openxmlformats.org/officeDocument/2006/relationships/hyperlink" Target="https://bit.ly/3t0ymnZ" TargetMode="External"/><Relationship Id="rId38" Type="http://schemas.openxmlformats.org/officeDocument/2006/relationships/hyperlink" Target="https://bit.ly/3eCjQ0x" TargetMode="External"/><Relationship Id="rId46" Type="http://schemas.openxmlformats.org/officeDocument/2006/relationships/hyperlink" Target="https://doi.org/10.4067/S0718-33992019000100549" TargetMode="External"/><Relationship Id="rId2" Type="http://schemas.openxmlformats.org/officeDocument/2006/relationships/numbering" Target="numbering.xml"/><Relationship Id="rId16" Type="http://schemas.openxmlformats.org/officeDocument/2006/relationships/hyperlink" Target="https://doi.org/10.3790/978-3-428-45743-4" TargetMode="External"/><Relationship Id="rId20" Type="http://schemas.openxmlformats.org/officeDocument/2006/relationships/hyperlink" Target="https://doi.org/10.1111/j.1748-121X.1990.tb00598.x" TargetMode="External"/><Relationship Id="rId29" Type="http://schemas.openxmlformats.org/officeDocument/2006/relationships/hyperlink" Target="https://doi.org/10.3790/978-3-428-54338-0" TargetMode="External"/><Relationship Id="rId41" Type="http://schemas.openxmlformats.org/officeDocument/2006/relationships/hyperlink" Target="https://bit.ly/3u40GHo" TargetMode="External"/><Relationship Id="rId54" Type="http://schemas.openxmlformats.org/officeDocument/2006/relationships/hyperlink" Target="https://bit.ly/3e8cU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15/zstw.2011.260" TargetMode="External"/><Relationship Id="rId24" Type="http://schemas.openxmlformats.org/officeDocument/2006/relationships/hyperlink" Target="https://doi.org/10.1515/zstw.1977.89.1.1" TargetMode="External"/><Relationship Id="rId32" Type="http://schemas.openxmlformats.org/officeDocument/2006/relationships/hyperlink" Target="https://doi.org/10.5771/9783845244099" TargetMode="External"/><Relationship Id="rId37" Type="http://schemas.openxmlformats.org/officeDocument/2006/relationships/hyperlink" Target="https://doi.org/10.1515/zstw.1995.107.3.507" TargetMode="External"/><Relationship Id="rId40" Type="http://schemas.openxmlformats.org/officeDocument/2006/relationships/hyperlink" Target="https://doi.org/10.1515/ZSTW.2008.418" TargetMode="External"/><Relationship Id="rId45" Type="http://schemas.openxmlformats.org/officeDocument/2006/relationships/hyperlink" Target="https://bit.ly/3eI17Rs" TargetMode="External"/><Relationship Id="rId53" Type="http://schemas.openxmlformats.org/officeDocument/2006/relationships/hyperlink" Target="https://doi.org/10.1515/9783110892666"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t.ly/33Egwgm" TargetMode="External"/><Relationship Id="rId23" Type="http://schemas.openxmlformats.org/officeDocument/2006/relationships/hyperlink" Target="https://doi.org/10.1017/S1352325201073050" TargetMode="External"/><Relationship Id="rId28" Type="http://schemas.openxmlformats.org/officeDocument/2006/relationships/hyperlink" Target="https://doi.org/10.3790/978-3-428-52920-9" TargetMode="External"/><Relationship Id="rId36" Type="http://schemas.openxmlformats.org/officeDocument/2006/relationships/hyperlink" Target="https://doi.org/10.1515/zstw.1964.76.3.409" TargetMode="External"/><Relationship Id="rId49" Type="http://schemas.openxmlformats.org/officeDocument/2006/relationships/hyperlink" Target="https://bit.ly/31WbWZW" TargetMode="External"/><Relationship Id="rId57" Type="http://schemas.openxmlformats.org/officeDocument/2006/relationships/fontTable" Target="fontTable.xml"/><Relationship Id="rId10" Type="http://schemas.openxmlformats.org/officeDocument/2006/relationships/hyperlink" Target="mailto:mschurmann@derecho.uchile.cl" TargetMode="External"/><Relationship Id="rId19" Type="http://schemas.openxmlformats.org/officeDocument/2006/relationships/hyperlink" Target="http://dx.doi.org/10.4067/S0718-33992018000100387" TargetMode="External"/><Relationship Id="rId31" Type="http://schemas.openxmlformats.org/officeDocument/2006/relationships/hyperlink" Target="https://doi.org/10.3790/978-3-428-51444-1" TargetMode="External"/><Relationship Id="rId44" Type="http://schemas.openxmlformats.org/officeDocument/2006/relationships/hyperlink" Target="https://doi.org/10.1515/9783110891522.103" TargetMode="External"/><Relationship Id="rId52" Type="http://schemas.openxmlformats.org/officeDocument/2006/relationships/hyperlink" Target="https://bit.ly/3h23uBc" TargetMode="External"/><Relationship Id="rId4" Type="http://schemas.microsoft.com/office/2007/relationships/stylesWithEffects" Target="stylesWithEffects.xml"/><Relationship Id="rId9" Type="http://schemas.openxmlformats.org/officeDocument/2006/relationships/hyperlink" Target="https://doi.org/10.22199/issn.0718-9753-2021-00012" TargetMode="External"/><Relationship Id="rId14" Type="http://schemas.openxmlformats.org/officeDocument/2006/relationships/hyperlink" Target="https://bit.ly/3oX9YmN" TargetMode="External"/><Relationship Id="rId22" Type="http://schemas.openxmlformats.org/officeDocument/2006/relationships/hyperlink" Target="https://bit.ly/2QIeclT" TargetMode="External"/><Relationship Id="rId27" Type="http://schemas.openxmlformats.org/officeDocument/2006/relationships/hyperlink" Target="https://doi.org/10.1515/ZSTW.2009.954" TargetMode="External"/><Relationship Id="rId30" Type="http://schemas.openxmlformats.org/officeDocument/2006/relationships/hyperlink" Target="https://doi.org/10.5771/9783845263724" TargetMode="External"/><Relationship Id="rId35" Type="http://schemas.openxmlformats.org/officeDocument/2006/relationships/hyperlink" Target="https://doi.org/10.3790/978-3-428-52920-9" TargetMode="External"/><Relationship Id="rId43" Type="http://schemas.openxmlformats.org/officeDocument/2006/relationships/hyperlink" Target="https://bit.ly/3e360VP" TargetMode="External"/><Relationship Id="rId48" Type="http://schemas.openxmlformats.org/officeDocument/2006/relationships/hyperlink" Target="https://bit.ly/2SBNb3L" TargetMode="External"/><Relationship Id="rId56" Type="http://schemas.openxmlformats.org/officeDocument/2006/relationships/hyperlink" Target="https://creativecommons.org/licenses/by/4.0/deed.es_ES" TargetMode="External"/><Relationship Id="rId8" Type="http://schemas.openxmlformats.org/officeDocument/2006/relationships/endnotes" Target="endnotes.xml"/><Relationship Id="rId51" Type="http://schemas.openxmlformats.org/officeDocument/2006/relationships/hyperlink" Target="https://doi.org/10.3790/978-3-428-47822-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file:///C:\scielo\serial\rducn\v28\relaci&#243;n" TargetMode="Externa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69676D"/>
      </a:dk2>
      <a:lt2>
        <a:srgbClr val="C9C2D1"/>
      </a:lt2>
      <a:accent1>
        <a:srgbClr val="CEB966"/>
      </a:accent1>
      <a:accent2>
        <a:srgbClr val="175D72"/>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B80750C-D571-49FA-B6BA-50C61596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19933</Words>
  <Characters>111032</Characters>
  <Application>Microsoft Office Word</Application>
  <DocSecurity>0</DocSecurity>
  <Lines>1734</Lines>
  <Paragraphs>265</Paragraphs>
  <ScaleCrop>false</ScaleCrop>
  <HeadingPairs>
    <vt:vector size="2" baseType="variant">
      <vt:variant>
        <vt:lpstr>Título</vt:lpstr>
      </vt:variant>
      <vt:variant>
        <vt:i4>1</vt:i4>
      </vt:variant>
    </vt:vector>
  </HeadingPairs>
  <TitlesOfParts>
    <vt:vector size="1" baseType="lpstr">
      <vt:lpstr/>
    </vt:vector>
  </TitlesOfParts>
  <Company>Rev. Derecho (Coquimbo, en línea)</Company>
  <LinksUpToDate>false</LinksUpToDate>
  <CharactersWithSpaces>130700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Scielo</cp:lastModifiedBy>
  <cp:revision>4</cp:revision>
  <cp:lastPrinted>2019-09-03T19:51:00Z</cp:lastPrinted>
  <dcterms:created xsi:type="dcterms:W3CDTF">2021-05-28T01:47:00Z</dcterms:created>
  <dcterms:modified xsi:type="dcterms:W3CDTF">2021-05-28T02:16:00Z</dcterms:modified>
</cp:coreProperties>
</file>